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肿瘤科和老年科新病区家具配置</w:t>
      </w:r>
    </w:p>
    <w:p w14:paraId="4544BCE4">
      <w:pPr>
        <w:pStyle w:val="62"/>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10</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432"/>
        <w:gridCol w:w="1683"/>
        <w:gridCol w:w="1986"/>
      </w:tblGrid>
      <w:tr w14:paraId="71E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2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2"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（万元）</w:t>
            </w:r>
          </w:p>
        </w:tc>
        <w:tc>
          <w:tcPr>
            <w:tcW w:w="168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投标保证金（万元）</w:t>
            </w:r>
          </w:p>
        </w:tc>
        <w:tc>
          <w:tcPr>
            <w:tcW w:w="1986" w:type="dxa"/>
            <w:vAlign w:val="center"/>
          </w:tcPr>
          <w:p w14:paraId="78C81132">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7A8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628" w:type="dxa"/>
            <w:vAlign w:val="center"/>
          </w:tcPr>
          <w:p w14:paraId="3ED19085">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肿瘤科和老年科新病区家具配置</w:t>
            </w:r>
          </w:p>
        </w:tc>
        <w:tc>
          <w:tcPr>
            <w:tcW w:w="1432"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4.6</w:t>
            </w:r>
          </w:p>
        </w:tc>
        <w:tc>
          <w:tcPr>
            <w:tcW w:w="168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986" w:type="dxa"/>
            <w:vAlign w:val="center"/>
          </w:tcPr>
          <w:p w14:paraId="088DF492">
            <w:pPr>
              <w:widowControl/>
              <w:jc w:val="center"/>
              <w:rPr>
                <w:rFonts w:ascii="方正仿宋_GBK" w:hAnsi="Calibri" w:eastAsia="方正仿宋_GBK" w:cs="宋体"/>
                <w:sz w:val="24"/>
                <w:szCs w:val="28"/>
              </w:rPr>
            </w:pPr>
            <w:r>
              <w:rPr>
                <w:rFonts w:hint="eastAsia" w:ascii="方正仿宋_GBK" w:hAnsi="Calibri" w:eastAsia="方正仿宋_GBK" w:cs="宋体"/>
                <w:sz w:val="24"/>
                <w:szCs w:val="28"/>
              </w:rPr>
              <w:t>/</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三、项目技术要求</w:t>
      </w:r>
      <w:bookmarkStart w:id="0" w:name="_Toc433726022"/>
      <w:bookmarkStart w:id="1" w:name="_Toc464637619"/>
      <w:bookmarkStart w:id="2" w:name="_Toc26735"/>
      <w:bookmarkStart w:id="3" w:name="_Toc416792603"/>
      <w:bookmarkStart w:id="4" w:name="_Toc267320049"/>
      <w:bookmarkStart w:id="5" w:name="_Toc23014"/>
      <w:bookmarkStart w:id="6" w:name="_Toc514962183"/>
    </w:p>
    <w:p w14:paraId="30100D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肿瘤科、老年科病区搬迁至中医院区，需增配病房储物柜23个，治疗室、处置室柜子、护士站各一个，医生办公桌4套（含座椅），主任办公桌1套（含座椅），护士长办公桌1套（含座椅），柜体材质均采用E0级实木颗粒板，其中治疗室及处置室柜子的台面采用大理石材，病房储物柜面层板材需采用多层实木板利于放置患者的水杯、碗筷等易洒水物品，可增长使用寿命。</w:t>
      </w:r>
    </w:p>
    <w:tbl>
      <w:tblPr>
        <w:tblStyle w:val="43"/>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18"/>
        <w:gridCol w:w="1568"/>
        <w:gridCol w:w="4543"/>
        <w:gridCol w:w="708"/>
        <w:gridCol w:w="723"/>
      </w:tblGrid>
      <w:tr w14:paraId="18D9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9" w:type="dxa"/>
            <w:noWrap w:val="0"/>
            <w:vAlign w:val="center"/>
          </w:tcPr>
          <w:p w14:paraId="19A825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品名</w:t>
            </w:r>
          </w:p>
        </w:tc>
        <w:tc>
          <w:tcPr>
            <w:tcW w:w="1118" w:type="dxa"/>
            <w:noWrap w:val="0"/>
            <w:vAlign w:val="center"/>
          </w:tcPr>
          <w:p w14:paraId="07B210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参考图片</w:t>
            </w:r>
          </w:p>
        </w:tc>
        <w:tc>
          <w:tcPr>
            <w:tcW w:w="1568" w:type="dxa"/>
            <w:noWrap w:val="0"/>
            <w:vAlign w:val="center"/>
          </w:tcPr>
          <w:p w14:paraId="26D540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规格（mm）</w:t>
            </w:r>
          </w:p>
        </w:tc>
        <w:tc>
          <w:tcPr>
            <w:tcW w:w="4543" w:type="dxa"/>
            <w:noWrap w:val="0"/>
            <w:vAlign w:val="center"/>
          </w:tcPr>
          <w:p w14:paraId="34B678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材质、技术指标</w:t>
            </w:r>
          </w:p>
        </w:tc>
        <w:tc>
          <w:tcPr>
            <w:tcW w:w="708" w:type="dxa"/>
            <w:noWrap w:val="0"/>
            <w:vAlign w:val="center"/>
          </w:tcPr>
          <w:p w14:paraId="3BE17A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单位</w:t>
            </w:r>
          </w:p>
        </w:tc>
        <w:tc>
          <w:tcPr>
            <w:tcW w:w="723" w:type="dxa"/>
            <w:noWrap w:val="0"/>
            <w:vAlign w:val="center"/>
          </w:tcPr>
          <w:p w14:paraId="11B689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数量</w:t>
            </w:r>
          </w:p>
        </w:tc>
      </w:tr>
      <w:tr w14:paraId="1D71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14:paraId="4FD8EF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置物柜</w:t>
            </w:r>
          </w:p>
        </w:tc>
        <w:tc>
          <w:tcPr>
            <w:tcW w:w="1118" w:type="dxa"/>
            <w:noWrap w:val="0"/>
            <w:vAlign w:val="center"/>
          </w:tcPr>
          <w:p w14:paraId="690FC04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39370</wp:posOffset>
                  </wp:positionH>
                  <wp:positionV relativeFrom="paragraph">
                    <wp:posOffset>487680</wp:posOffset>
                  </wp:positionV>
                  <wp:extent cx="614045" cy="615950"/>
                  <wp:effectExtent l="0" t="0" r="14605" b="12700"/>
                  <wp:wrapSquare wrapText="bothSides"/>
                  <wp:docPr id="11"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13"/>
                          <a:stretch>
                            <a:fillRect/>
                          </a:stretch>
                        </pic:blipFill>
                        <pic:spPr>
                          <a:xfrm>
                            <a:off x="0" y="0"/>
                            <a:ext cx="614045" cy="615950"/>
                          </a:xfrm>
                          <a:prstGeom prst="rect">
                            <a:avLst/>
                          </a:prstGeom>
                          <a:noFill/>
                          <a:ln>
                            <a:noFill/>
                          </a:ln>
                        </pic:spPr>
                      </pic:pic>
                    </a:graphicData>
                  </a:graphic>
                </wp:anchor>
              </w:drawing>
            </w:r>
          </w:p>
        </w:tc>
        <w:tc>
          <w:tcPr>
            <w:tcW w:w="1568" w:type="dxa"/>
            <w:noWrap w:val="0"/>
            <w:vAlign w:val="center"/>
          </w:tcPr>
          <w:p w14:paraId="3EC2CF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2000*500*600</w:t>
            </w:r>
          </w:p>
        </w:tc>
        <w:tc>
          <w:tcPr>
            <w:tcW w:w="4543" w:type="dxa"/>
            <w:noWrap w:val="0"/>
            <w:vAlign w:val="center"/>
          </w:tcPr>
          <w:p w14:paraId="029591B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1、</w:t>
            </w:r>
            <w:r>
              <w:rPr>
                <w:rFonts w:hint="eastAsia" w:ascii="方正仿宋_GBK" w:hAnsi="方正仿宋_GBK" w:eastAsia="方正仿宋_GBK" w:cs="方正仿宋_GBK"/>
                <w:sz w:val="24"/>
                <w:szCs w:val="24"/>
                <w:lang w:val="en-US" w:eastAsia="zh-CN"/>
              </w:rPr>
              <w:t>板材：E0级实木颗粒板,颜色由采购人确认。</w:t>
            </w:r>
          </w:p>
          <w:p w14:paraId="23FE5BFB">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2、</w:t>
            </w:r>
            <w:bookmarkStart w:id="41" w:name="_GoBack"/>
            <w:bookmarkEnd w:id="41"/>
            <w:r>
              <w:rPr>
                <w:rFonts w:hint="eastAsia" w:ascii="方正仿宋_GBK" w:hAnsi="方正仿宋_GBK" w:eastAsia="方正仿宋_GBK" w:cs="方正仿宋_GBK"/>
                <w:sz w:val="24"/>
                <w:szCs w:val="24"/>
                <w:lang w:val="en-US" w:eastAsia="zh-CN"/>
              </w:rPr>
              <w:t>面层板材：2000*600mm，多层实木板。</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6、拉手：耐腐蚀等级中性盐雾试验（NSS）连续喷雾≥100h达10级，乙酸盐雾试验（ASS）连续喷雾≥100h达10级。</w:t>
            </w:r>
          </w:p>
        </w:tc>
        <w:tc>
          <w:tcPr>
            <w:tcW w:w="708" w:type="dxa"/>
            <w:noWrap w:val="0"/>
            <w:vAlign w:val="center"/>
          </w:tcPr>
          <w:p w14:paraId="010622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noWrap w:val="0"/>
            <w:vAlign w:val="center"/>
          </w:tcPr>
          <w:p w14:paraId="44E8EB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r>
      <w:tr w14:paraId="494C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14:paraId="28DEAA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处置柜</w:t>
            </w:r>
          </w:p>
        </w:tc>
        <w:tc>
          <w:tcPr>
            <w:tcW w:w="1118" w:type="dxa"/>
            <w:noWrap w:val="0"/>
            <w:vAlign w:val="center"/>
          </w:tcPr>
          <w:p w14:paraId="2CF214A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-29845</wp:posOffset>
                  </wp:positionH>
                  <wp:positionV relativeFrom="paragraph">
                    <wp:posOffset>682625</wp:posOffset>
                  </wp:positionV>
                  <wp:extent cx="628015" cy="430530"/>
                  <wp:effectExtent l="0" t="0" r="635" b="7620"/>
                  <wp:wrapSquare wrapText="bothSides"/>
                  <wp:docPr id="13" name="图片_3"/>
                  <wp:cNvGraphicFramePr/>
                  <a:graphic xmlns:a="http://schemas.openxmlformats.org/drawingml/2006/main">
                    <a:graphicData uri="http://schemas.openxmlformats.org/drawingml/2006/picture">
                      <pic:pic xmlns:pic="http://schemas.openxmlformats.org/drawingml/2006/picture">
                        <pic:nvPicPr>
                          <pic:cNvPr id="13" name="图片_3"/>
                          <pic:cNvPicPr/>
                        </pic:nvPicPr>
                        <pic:blipFill>
                          <a:blip r:embed="rId14"/>
                          <a:stretch>
                            <a:fillRect/>
                          </a:stretch>
                        </pic:blipFill>
                        <pic:spPr>
                          <a:xfrm>
                            <a:off x="0" y="0"/>
                            <a:ext cx="628015" cy="430530"/>
                          </a:xfrm>
                          <a:prstGeom prst="rect">
                            <a:avLst/>
                          </a:prstGeom>
                          <a:noFill/>
                          <a:ln>
                            <a:noFill/>
                          </a:ln>
                        </pic:spPr>
                      </pic:pic>
                    </a:graphicData>
                  </a:graphic>
                </wp:anchor>
              </w:drawing>
            </w:r>
          </w:p>
        </w:tc>
        <w:tc>
          <w:tcPr>
            <w:tcW w:w="1568" w:type="dxa"/>
            <w:noWrap w:val="0"/>
            <w:vAlign w:val="center"/>
          </w:tcPr>
          <w:p w14:paraId="4F9C75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2950*600*1000</w:t>
            </w:r>
          </w:p>
        </w:tc>
        <w:tc>
          <w:tcPr>
            <w:tcW w:w="4543" w:type="dxa"/>
            <w:noWrap w:val="0"/>
            <w:vAlign w:val="center"/>
          </w:tcPr>
          <w:p w14:paraId="249A72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6、面板：优质15mm大理石台面。</w:t>
            </w:r>
          </w:p>
        </w:tc>
        <w:tc>
          <w:tcPr>
            <w:tcW w:w="708" w:type="dxa"/>
            <w:noWrap w:val="0"/>
            <w:vAlign w:val="center"/>
          </w:tcPr>
          <w:p w14:paraId="2BC764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noWrap w:val="0"/>
            <w:vAlign w:val="center"/>
          </w:tcPr>
          <w:p w14:paraId="72B49E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BC4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14:paraId="2F47CC0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柜子</w:t>
            </w:r>
          </w:p>
        </w:tc>
        <w:tc>
          <w:tcPr>
            <w:tcW w:w="1118" w:type="dxa"/>
            <w:noWrap w:val="0"/>
            <w:vAlign w:val="center"/>
          </w:tcPr>
          <w:p w14:paraId="09342B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113030</wp:posOffset>
                  </wp:positionH>
                  <wp:positionV relativeFrom="paragraph">
                    <wp:posOffset>88900</wp:posOffset>
                  </wp:positionV>
                  <wp:extent cx="505460" cy="520700"/>
                  <wp:effectExtent l="0" t="0" r="8890" b="12700"/>
                  <wp:wrapSquare wrapText="bothSides"/>
                  <wp:docPr id="14" name="图片_1"/>
                  <wp:cNvGraphicFramePr/>
                  <a:graphic xmlns:a="http://schemas.openxmlformats.org/drawingml/2006/main">
                    <a:graphicData uri="http://schemas.openxmlformats.org/drawingml/2006/picture">
                      <pic:pic xmlns:pic="http://schemas.openxmlformats.org/drawingml/2006/picture">
                        <pic:nvPicPr>
                          <pic:cNvPr id="14" name="图片_1"/>
                          <pic:cNvPicPr/>
                        </pic:nvPicPr>
                        <pic:blipFill>
                          <a:blip r:embed="rId15"/>
                          <a:stretch>
                            <a:fillRect/>
                          </a:stretch>
                        </pic:blipFill>
                        <pic:spPr>
                          <a:xfrm>
                            <a:off x="0" y="0"/>
                            <a:ext cx="505460" cy="520700"/>
                          </a:xfrm>
                          <a:prstGeom prst="rect">
                            <a:avLst/>
                          </a:prstGeom>
                          <a:noFill/>
                          <a:ln>
                            <a:noFill/>
                          </a:ln>
                        </pic:spPr>
                      </pic:pic>
                    </a:graphicData>
                  </a:graphic>
                </wp:anchor>
              </w:drawing>
            </w:r>
          </w:p>
        </w:tc>
        <w:tc>
          <w:tcPr>
            <w:tcW w:w="1568" w:type="dxa"/>
            <w:noWrap w:val="0"/>
            <w:vAlign w:val="center"/>
          </w:tcPr>
          <w:p w14:paraId="0A8C3DB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2870*600*2480</w:t>
            </w:r>
          </w:p>
        </w:tc>
        <w:tc>
          <w:tcPr>
            <w:tcW w:w="4543" w:type="dxa"/>
            <w:noWrap w:val="0"/>
            <w:vAlign w:val="center"/>
          </w:tcPr>
          <w:p w14:paraId="5A32DB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6、面板：优质15mm大理石台面。</w:t>
            </w:r>
          </w:p>
        </w:tc>
        <w:tc>
          <w:tcPr>
            <w:tcW w:w="708" w:type="dxa"/>
            <w:noWrap w:val="0"/>
            <w:vAlign w:val="center"/>
          </w:tcPr>
          <w:p w14:paraId="29216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noWrap w:val="0"/>
            <w:vAlign w:val="center"/>
          </w:tcPr>
          <w:p w14:paraId="522D18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69E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noWrap w:val="0"/>
            <w:vAlign w:val="center"/>
          </w:tcPr>
          <w:p w14:paraId="3320667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柜子</w:t>
            </w:r>
          </w:p>
        </w:tc>
        <w:tc>
          <w:tcPr>
            <w:tcW w:w="1118" w:type="dxa"/>
            <w:shd w:val="clear" w:color="auto" w:fill="auto"/>
            <w:noWrap w:val="0"/>
            <w:vAlign w:val="center"/>
          </w:tcPr>
          <w:p w14:paraId="0FCDC2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71755</wp:posOffset>
                  </wp:positionH>
                  <wp:positionV relativeFrom="paragraph">
                    <wp:posOffset>-553085</wp:posOffset>
                  </wp:positionV>
                  <wp:extent cx="668655" cy="536575"/>
                  <wp:effectExtent l="0" t="0" r="17145" b="15875"/>
                  <wp:wrapSquare wrapText="bothSides"/>
                  <wp:docPr id="15" name="图片 5"/>
                  <wp:cNvGraphicFramePr/>
                  <a:graphic xmlns:a="http://schemas.openxmlformats.org/drawingml/2006/main">
                    <a:graphicData uri="http://schemas.openxmlformats.org/drawingml/2006/picture">
                      <pic:pic xmlns:pic="http://schemas.openxmlformats.org/drawingml/2006/picture">
                        <pic:nvPicPr>
                          <pic:cNvPr id="15" name="图片 5"/>
                          <pic:cNvPicPr/>
                        </pic:nvPicPr>
                        <pic:blipFill>
                          <a:blip r:embed="rId15"/>
                          <a:stretch>
                            <a:fillRect/>
                          </a:stretch>
                        </pic:blipFill>
                        <pic:spPr>
                          <a:xfrm>
                            <a:off x="0" y="0"/>
                            <a:ext cx="668655" cy="536575"/>
                          </a:xfrm>
                          <a:prstGeom prst="rect">
                            <a:avLst/>
                          </a:prstGeom>
                          <a:noFill/>
                          <a:ln>
                            <a:noFill/>
                          </a:ln>
                        </pic:spPr>
                      </pic:pic>
                    </a:graphicData>
                  </a:graphic>
                </wp:anchor>
              </w:drawing>
            </w:r>
          </w:p>
        </w:tc>
        <w:tc>
          <w:tcPr>
            <w:tcW w:w="1568" w:type="dxa"/>
            <w:shd w:val="clear" w:color="auto" w:fill="auto"/>
            <w:noWrap w:val="0"/>
            <w:vAlign w:val="center"/>
          </w:tcPr>
          <w:p w14:paraId="6B15FAB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2395*600*2480mm</w:t>
            </w:r>
          </w:p>
        </w:tc>
        <w:tc>
          <w:tcPr>
            <w:tcW w:w="4543" w:type="dxa"/>
            <w:shd w:val="clear" w:color="auto" w:fill="auto"/>
            <w:noWrap w:val="0"/>
            <w:vAlign w:val="center"/>
          </w:tcPr>
          <w:p w14:paraId="2AABC12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6、面板：优质15mm大理石台面。</w:t>
            </w:r>
          </w:p>
        </w:tc>
        <w:tc>
          <w:tcPr>
            <w:tcW w:w="708" w:type="dxa"/>
            <w:shd w:val="clear" w:color="auto" w:fill="auto"/>
            <w:noWrap w:val="0"/>
            <w:vAlign w:val="center"/>
          </w:tcPr>
          <w:p w14:paraId="1402EF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shd w:val="clear" w:color="auto" w:fill="FFFFFF"/>
            <w:noWrap w:val="0"/>
            <w:vAlign w:val="center"/>
          </w:tcPr>
          <w:p w14:paraId="7BFE2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43D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noWrap w:val="0"/>
            <w:vAlign w:val="center"/>
          </w:tcPr>
          <w:p w14:paraId="6F04CC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分诊台</w:t>
            </w:r>
          </w:p>
        </w:tc>
        <w:tc>
          <w:tcPr>
            <w:tcW w:w="1118" w:type="dxa"/>
            <w:shd w:val="clear" w:color="auto" w:fill="auto"/>
            <w:noWrap w:val="0"/>
            <w:vAlign w:val="center"/>
          </w:tcPr>
          <w:p w14:paraId="4F080A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-11430</wp:posOffset>
                  </wp:positionH>
                  <wp:positionV relativeFrom="paragraph">
                    <wp:posOffset>134620</wp:posOffset>
                  </wp:positionV>
                  <wp:extent cx="644525" cy="560070"/>
                  <wp:effectExtent l="0" t="0" r="3175" b="11430"/>
                  <wp:wrapSquare wrapText="bothSides"/>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16"/>
                          <a:stretch>
                            <a:fillRect/>
                          </a:stretch>
                        </pic:blipFill>
                        <pic:spPr>
                          <a:xfrm>
                            <a:off x="0" y="0"/>
                            <a:ext cx="644525" cy="560070"/>
                          </a:xfrm>
                          <a:prstGeom prst="rect">
                            <a:avLst/>
                          </a:prstGeom>
                          <a:noFill/>
                          <a:ln>
                            <a:noFill/>
                          </a:ln>
                        </pic:spPr>
                      </pic:pic>
                    </a:graphicData>
                  </a:graphic>
                </wp:anchor>
              </w:drawing>
            </w:r>
          </w:p>
        </w:tc>
        <w:tc>
          <w:tcPr>
            <w:tcW w:w="1568" w:type="dxa"/>
            <w:shd w:val="clear" w:color="auto" w:fill="auto"/>
            <w:noWrap w:val="0"/>
            <w:vAlign w:val="center"/>
          </w:tcPr>
          <w:p w14:paraId="269E2E0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2550*600*1000</w:t>
            </w:r>
          </w:p>
        </w:tc>
        <w:tc>
          <w:tcPr>
            <w:tcW w:w="4543" w:type="dxa"/>
            <w:shd w:val="clear" w:color="auto" w:fill="auto"/>
            <w:noWrap w:val="0"/>
            <w:vAlign w:val="center"/>
          </w:tcPr>
          <w:p w14:paraId="62542D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6、面板：优质15mm大理石台面。</w:t>
            </w:r>
          </w:p>
        </w:tc>
        <w:tc>
          <w:tcPr>
            <w:tcW w:w="708" w:type="dxa"/>
            <w:shd w:val="clear" w:color="auto" w:fill="auto"/>
            <w:noWrap w:val="0"/>
            <w:vAlign w:val="center"/>
          </w:tcPr>
          <w:p w14:paraId="50EC2E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shd w:val="clear" w:color="auto" w:fill="FFFFFF"/>
            <w:noWrap w:val="0"/>
            <w:vAlign w:val="center"/>
          </w:tcPr>
          <w:p w14:paraId="62D62C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554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789" w:type="dxa"/>
            <w:shd w:val="clear" w:color="auto" w:fill="auto"/>
            <w:noWrap w:val="0"/>
            <w:vAlign w:val="center"/>
          </w:tcPr>
          <w:p w14:paraId="0F5A6D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柜子</w:t>
            </w:r>
          </w:p>
        </w:tc>
        <w:tc>
          <w:tcPr>
            <w:tcW w:w="1118" w:type="dxa"/>
            <w:shd w:val="clear" w:color="auto" w:fill="auto"/>
            <w:noWrap w:val="0"/>
            <w:vAlign w:val="center"/>
          </w:tcPr>
          <w:p w14:paraId="6D47C1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-62230</wp:posOffset>
                  </wp:positionH>
                  <wp:positionV relativeFrom="paragraph">
                    <wp:posOffset>549910</wp:posOffset>
                  </wp:positionV>
                  <wp:extent cx="659130" cy="685165"/>
                  <wp:effectExtent l="0" t="0" r="7620" b="635"/>
                  <wp:wrapNone/>
                  <wp:docPr id="9" name="图片_5"/>
                  <wp:cNvGraphicFramePr/>
                  <a:graphic xmlns:a="http://schemas.openxmlformats.org/drawingml/2006/main">
                    <a:graphicData uri="http://schemas.openxmlformats.org/drawingml/2006/picture">
                      <pic:pic xmlns:pic="http://schemas.openxmlformats.org/drawingml/2006/picture">
                        <pic:nvPicPr>
                          <pic:cNvPr id="9" name="图片_5"/>
                          <pic:cNvPicPr/>
                        </pic:nvPicPr>
                        <pic:blipFill>
                          <a:blip r:embed="rId17"/>
                          <a:stretch>
                            <a:fillRect/>
                          </a:stretch>
                        </pic:blipFill>
                        <pic:spPr>
                          <a:xfrm>
                            <a:off x="0" y="0"/>
                            <a:ext cx="659130" cy="685165"/>
                          </a:xfrm>
                          <a:prstGeom prst="rect">
                            <a:avLst/>
                          </a:prstGeom>
                          <a:noFill/>
                          <a:ln>
                            <a:noFill/>
                          </a:ln>
                        </pic:spPr>
                      </pic:pic>
                    </a:graphicData>
                  </a:graphic>
                </wp:anchor>
              </w:drawing>
            </w:r>
          </w:p>
        </w:tc>
        <w:tc>
          <w:tcPr>
            <w:tcW w:w="1568" w:type="dxa"/>
            <w:shd w:val="clear" w:color="auto" w:fill="auto"/>
            <w:noWrap w:val="0"/>
            <w:vAlign w:val="center"/>
          </w:tcPr>
          <w:p w14:paraId="432772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3680*500*2600</w:t>
            </w:r>
          </w:p>
        </w:tc>
        <w:tc>
          <w:tcPr>
            <w:tcW w:w="4543" w:type="dxa"/>
            <w:shd w:val="clear" w:color="auto" w:fill="auto"/>
            <w:noWrap w:val="0"/>
            <w:vAlign w:val="center"/>
          </w:tcPr>
          <w:p w14:paraId="0422ABA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5、锁具：钥匙插拔应灵活，无卡滞现象，钥匙插入锁芯旋转灵活，锁开、关无卡阻现象，电镀件外露表面应色泽均匀，不应有起泡、起层、露底等明显瑕疵。</w:t>
            </w:r>
          </w:p>
        </w:tc>
        <w:tc>
          <w:tcPr>
            <w:tcW w:w="708" w:type="dxa"/>
            <w:shd w:val="clear" w:color="auto" w:fill="auto"/>
            <w:noWrap w:val="0"/>
            <w:vAlign w:val="center"/>
          </w:tcPr>
          <w:p w14:paraId="516190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shd w:val="clear" w:color="auto" w:fill="FFFFFF"/>
            <w:noWrap w:val="0"/>
            <w:vAlign w:val="center"/>
          </w:tcPr>
          <w:p w14:paraId="1C9EA7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CE2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noWrap w:val="0"/>
            <w:vAlign w:val="center"/>
          </w:tcPr>
          <w:p w14:paraId="5173D0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办公桌</w:t>
            </w:r>
          </w:p>
        </w:tc>
        <w:tc>
          <w:tcPr>
            <w:tcW w:w="1118" w:type="dxa"/>
            <w:shd w:val="clear" w:color="auto" w:fill="auto"/>
            <w:noWrap w:val="0"/>
            <w:vAlign w:val="center"/>
          </w:tcPr>
          <w:p w14:paraId="505ACE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-23495</wp:posOffset>
                  </wp:positionH>
                  <wp:positionV relativeFrom="paragraph">
                    <wp:posOffset>180975</wp:posOffset>
                  </wp:positionV>
                  <wp:extent cx="621665" cy="480695"/>
                  <wp:effectExtent l="0" t="0" r="6985" b="14605"/>
                  <wp:wrapNone/>
                  <wp:docPr id="7" name="图片_15"/>
                  <wp:cNvGraphicFramePr/>
                  <a:graphic xmlns:a="http://schemas.openxmlformats.org/drawingml/2006/main">
                    <a:graphicData uri="http://schemas.openxmlformats.org/drawingml/2006/picture">
                      <pic:pic xmlns:pic="http://schemas.openxmlformats.org/drawingml/2006/picture">
                        <pic:nvPicPr>
                          <pic:cNvPr id="7" name="图片_15"/>
                          <pic:cNvPicPr/>
                        </pic:nvPicPr>
                        <pic:blipFill>
                          <a:blip r:embed="rId18"/>
                          <a:stretch>
                            <a:fillRect/>
                          </a:stretch>
                        </pic:blipFill>
                        <pic:spPr>
                          <a:xfrm>
                            <a:off x="0" y="0"/>
                            <a:ext cx="621665" cy="480695"/>
                          </a:xfrm>
                          <a:prstGeom prst="rect">
                            <a:avLst/>
                          </a:prstGeom>
                          <a:noFill/>
                          <a:ln>
                            <a:noFill/>
                          </a:ln>
                        </pic:spPr>
                      </pic:pic>
                    </a:graphicData>
                  </a:graphic>
                </wp:anchor>
              </w:drawing>
            </w:r>
          </w:p>
        </w:tc>
        <w:tc>
          <w:tcPr>
            <w:tcW w:w="1568" w:type="dxa"/>
            <w:shd w:val="clear" w:color="auto" w:fill="auto"/>
            <w:noWrap w:val="0"/>
            <w:vAlign w:val="center"/>
          </w:tcPr>
          <w:p w14:paraId="6460DB1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1100*600*750</w:t>
            </w:r>
          </w:p>
        </w:tc>
        <w:tc>
          <w:tcPr>
            <w:tcW w:w="4543" w:type="dxa"/>
            <w:shd w:val="clear" w:color="auto" w:fill="auto"/>
            <w:noWrap w:val="0"/>
            <w:vAlign w:val="center"/>
          </w:tcPr>
          <w:p w14:paraId="0BFB14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6、锁具：钥匙插拔应灵活，无卡滞现象，钥匙插入锁芯旋转灵活，锁开、关无卡阻现象，电镀件外露表面应色泽均匀，不应有起泡、起层、露底等明显瑕疵。</w:t>
            </w:r>
          </w:p>
        </w:tc>
        <w:tc>
          <w:tcPr>
            <w:tcW w:w="708" w:type="dxa"/>
            <w:shd w:val="clear" w:color="auto" w:fill="auto"/>
            <w:noWrap w:val="0"/>
            <w:vAlign w:val="center"/>
          </w:tcPr>
          <w:p w14:paraId="016EE3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shd w:val="clear" w:color="auto" w:fill="FFFFFF"/>
            <w:noWrap w:val="0"/>
            <w:vAlign w:val="center"/>
          </w:tcPr>
          <w:p w14:paraId="06D83C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r>
      <w:tr w14:paraId="069E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noWrap w:val="0"/>
            <w:vAlign w:val="center"/>
          </w:tcPr>
          <w:p w14:paraId="5049E1F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办公桌</w:t>
            </w:r>
          </w:p>
        </w:tc>
        <w:tc>
          <w:tcPr>
            <w:tcW w:w="1118" w:type="dxa"/>
            <w:shd w:val="clear" w:color="auto" w:fill="auto"/>
            <w:noWrap w:val="0"/>
            <w:vAlign w:val="center"/>
          </w:tcPr>
          <w:p w14:paraId="64BD776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-60960</wp:posOffset>
                  </wp:positionH>
                  <wp:positionV relativeFrom="paragraph">
                    <wp:posOffset>-918845</wp:posOffset>
                  </wp:positionV>
                  <wp:extent cx="716280" cy="761365"/>
                  <wp:effectExtent l="0" t="0" r="7620" b="635"/>
                  <wp:wrapSquare wrapText="bothSides"/>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19"/>
                          <a:stretch>
                            <a:fillRect/>
                          </a:stretch>
                        </pic:blipFill>
                        <pic:spPr>
                          <a:xfrm>
                            <a:off x="0" y="0"/>
                            <a:ext cx="716280" cy="761365"/>
                          </a:xfrm>
                          <a:prstGeom prst="rect">
                            <a:avLst/>
                          </a:prstGeom>
                          <a:noFill/>
                          <a:ln>
                            <a:noFill/>
                          </a:ln>
                        </pic:spPr>
                      </pic:pic>
                    </a:graphicData>
                  </a:graphic>
                </wp:anchor>
              </w:drawing>
            </w:r>
          </w:p>
        </w:tc>
        <w:tc>
          <w:tcPr>
            <w:tcW w:w="1568" w:type="dxa"/>
            <w:shd w:val="clear" w:color="auto" w:fill="auto"/>
            <w:noWrap w:val="0"/>
            <w:vAlign w:val="center"/>
          </w:tcPr>
          <w:p w14:paraId="456E2DF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1400*600*750</w:t>
            </w:r>
          </w:p>
        </w:tc>
        <w:tc>
          <w:tcPr>
            <w:tcW w:w="4543" w:type="dxa"/>
            <w:shd w:val="clear" w:color="auto" w:fill="auto"/>
            <w:noWrap w:val="0"/>
            <w:vAlign w:val="center"/>
          </w:tcPr>
          <w:p w14:paraId="0123E8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2、封边条：依据QB/T 4463-2013《家具用封边条技术要求》标准。</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6、锁具：钥匙插拔应灵活，无卡滞现象，钥匙插入锁芯旋转灵活。</w:t>
            </w:r>
          </w:p>
        </w:tc>
        <w:tc>
          <w:tcPr>
            <w:tcW w:w="708" w:type="dxa"/>
            <w:shd w:val="clear" w:color="auto" w:fill="auto"/>
            <w:noWrap w:val="0"/>
            <w:vAlign w:val="center"/>
          </w:tcPr>
          <w:p w14:paraId="42B87A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shd w:val="clear" w:color="auto" w:fill="FFFFFF"/>
            <w:noWrap w:val="0"/>
            <w:vAlign w:val="center"/>
          </w:tcPr>
          <w:p w14:paraId="675ACB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21E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noWrap w:val="0"/>
            <w:vAlign w:val="center"/>
          </w:tcPr>
          <w:p w14:paraId="50675B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椅子</w:t>
            </w:r>
          </w:p>
        </w:tc>
        <w:tc>
          <w:tcPr>
            <w:tcW w:w="1118" w:type="dxa"/>
            <w:shd w:val="clear" w:color="auto" w:fill="auto"/>
            <w:noWrap w:val="0"/>
            <w:vAlign w:val="center"/>
          </w:tcPr>
          <w:p w14:paraId="6CDC53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-7620</wp:posOffset>
                  </wp:positionH>
                  <wp:positionV relativeFrom="paragraph">
                    <wp:posOffset>239395</wp:posOffset>
                  </wp:positionV>
                  <wp:extent cx="476885" cy="702945"/>
                  <wp:effectExtent l="0" t="0" r="18415" b="1905"/>
                  <wp:wrapNone/>
                  <wp:docPr id="10" name="图片_11"/>
                  <wp:cNvGraphicFramePr/>
                  <a:graphic xmlns:a="http://schemas.openxmlformats.org/drawingml/2006/main">
                    <a:graphicData uri="http://schemas.openxmlformats.org/drawingml/2006/picture">
                      <pic:pic xmlns:pic="http://schemas.openxmlformats.org/drawingml/2006/picture">
                        <pic:nvPicPr>
                          <pic:cNvPr id="10" name="图片_11"/>
                          <pic:cNvPicPr/>
                        </pic:nvPicPr>
                        <pic:blipFill>
                          <a:blip r:embed="rId20"/>
                          <a:stretch>
                            <a:fillRect/>
                          </a:stretch>
                        </pic:blipFill>
                        <pic:spPr>
                          <a:xfrm>
                            <a:off x="0" y="0"/>
                            <a:ext cx="476885" cy="702945"/>
                          </a:xfrm>
                          <a:prstGeom prst="rect">
                            <a:avLst/>
                          </a:prstGeom>
                          <a:noFill/>
                          <a:ln>
                            <a:noFill/>
                          </a:ln>
                        </pic:spPr>
                      </pic:pic>
                    </a:graphicData>
                  </a:graphic>
                </wp:anchor>
              </w:drawing>
            </w:r>
          </w:p>
        </w:tc>
        <w:tc>
          <w:tcPr>
            <w:tcW w:w="1568" w:type="dxa"/>
            <w:shd w:val="clear" w:color="auto" w:fill="auto"/>
            <w:noWrap w:val="0"/>
            <w:vAlign w:val="center"/>
          </w:tcPr>
          <w:p w14:paraId="040334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厂规</w:t>
            </w:r>
          </w:p>
        </w:tc>
        <w:tc>
          <w:tcPr>
            <w:tcW w:w="4543" w:type="dxa"/>
            <w:shd w:val="clear" w:color="auto" w:fill="auto"/>
            <w:noWrap w:val="0"/>
            <w:vAlign w:val="center"/>
          </w:tcPr>
          <w:p w14:paraId="6DBE5D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1、面材：采用超纤皮，符合GB/T 16799-2018《家具用皮革》标准。                                                </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板材：实木框架，符合GB/T35607-2024标准，甲醛释放量≤0.1mg/L，木制件外观（贯通裂缝、虫蛀、腐朽材、树脂囊、节子）均匀检测合格，五氯苯酚未检出，苯、甲苯、二甲苯、总挥发性有机化合物（TVOC）均未检出；</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3、曲木板:采用多层曲木板。                                                                        4、海绵：阻燃1级。</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5、水性漆：，耐水性、耐碱性、耐醇性、耐污染性、耐干热性检测合格，不挥发物≥50%；乙二醇醚及其酯类的总量未检出，游离甲醛≤5mg/kg；苯、甲苯、乙苯、二甲苯未检出。</w:t>
            </w:r>
          </w:p>
        </w:tc>
        <w:tc>
          <w:tcPr>
            <w:tcW w:w="708" w:type="dxa"/>
            <w:shd w:val="clear" w:color="auto" w:fill="auto"/>
            <w:noWrap w:val="0"/>
            <w:vAlign w:val="center"/>
          </w:tcPr>
          <w:p w14:paraId="1C5D68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723" w:type="dxa"/>
            <w:shd w:val="clear" w:color="auto" w:fill="FFFFFF"/>
            <w:noWrap w:val="0"/>
            <w:vAlign w:val="center"/>
          </w:tcPr>
          <w:p w14:paraId="009B48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r>
      <w:tr w14:paraId="1956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noWrap w:val="0"/>
            <w:vAlign w:val="center"/>
          </w:tcPr>
          <w:p w14:paraId="4105CE8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办公桌</w:t>
            </w:r>
          </w:p>
        </w:tc>
        <w:tc>
          <w:tcPr>
            <w:tcW w:w="1118" w:type="dxa"/>
            <w:shd w:val="clear" w:color="auto" w:fill="auto"/>
            <w:noWrap w:val="0"/>
            <w:vAlign w:val="center"/>
          </w:tcPr>
          <w:p w14:paraId="22E283B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62230</wp:posOffset>
                  </wp:positionH>
                  <wp:positionV relativeFrom="paragraph">
                    <wp:posOffset>361950</wp:posOffset>
                  </wp:positionV>
                  <wp:extent cx="520700" cy="524510"/>
                  <wp:effectExtent l="0" t="0" r="12700" b="8890"/>
                  <wp:wrapNone/>
                  <wp:docPr id="12" name="图片_17"/>
                  <wp:cNvGraphicFramePr/>
                  <a:graphic xmlns:a="http://schemas.openxmlformats.org/drawingml/2006/main">
                    <a:graphicData uri="http://schemas.openxmlformats.org/drawingml/2006/picture">
                      <pic:pic xmlns:pic="http://schemas.openxmlformats.org/drawingml/2006/picture">
                        <pic:nvPicPr>
                          <pic:cNvPr id="12" name="图片_17"/>
                          <pic:cNvPicPr/>
                        </pic:nvPicPr>
                        <pic:blipFill>
                          <a:blip r:embed="rId21"/>
                          <a:stretch>
                            <a:fillRect/>
                          </a:stretch>
                        </pic:blipFill>
                        <pic:spPr>
                          <a:xfrm>
                            <a:off x="0" y="0"/>
                            <a:ext cx="520700" cy="524510"/>
                          </a:xfrm>
                          <a:prstGeom prst="rect">
                            <a:avLst/>
                          </a:prstGeom>
                          <a:noFill/>
                          <a:ln>
                            <a:noFill/>
                          </a:ln>
                        </pic:spPr>
                      </pic:pic>
                    </a:graphicData>
                  </a:graphic>
                </wp:anchor>
              </w:drawing>
            </w:r>
          </w:p>
        </w:tc>
        <w:tc>
          <w:tcPr>
            <w:tcW w:w="1568" w:type="dxa"/>
            <w:shd w:val="clear" w:color="auto" w:fill="auto"/>
            <w:noWrap w:val="0"/>
            <w:vAlign w:val="center"/>
          </w:tcPr>
          <w:p w14:paraId="07C62E0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1200*600*750</w:t>
            </w:r>
          </w:p>
        </w:tc>
        <w:tc>
          <w:tcPr>
            <w:tcW w:w="4543" w:type="dxa"/>
            <w:shd w:val="clear" w:color="auto" w:fill="auto"/>
            <w:noWrap w:val="0"/>
            <w:vAlign w:val="center"/>
          </w:tcPr>
          <w:p w14:paraId="2473847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1、板材：E0级实木颗粒板,颜色由采购人确认。</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3、封边条：塑料封边条。</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4、三合一连接件：金属件外观性能要求未见缺陷。</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5、铰链：过载（垂直静载荷、水平静载荷）合格，操作力（耐久性试验前、耐久性试验后）、垂直静载荷、水平静载荷均检测合格。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6、导轨：操作力、抽屉导轨组件底部变形、抽屉导轨组件结构强度、垂直向下静载荷、水平侧向静载荷、拉出安全性、猛关或猛开、下沉量均检测合格。</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7、拉手：耐腐蚀等级中性盐雾试验（NSS）连续喷雾≥100h达10级，乙酸盐雾试验（ASS）连续喷雾≥100h达10级。</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8、锁具：钥匙插拔应灵活。</w:t>
            </w:r>
          </w:p>
        </w:tc>
        <w:tc>
          <w:tcPr>
            <w:tcW w:w="708" w:type="dxa"/>
            <w:shd w:val="clear" w:color="auto" w:fill="auto"/>
            <w:noWrap w:val="0"/>
            <w:vAlign w:val="center"/>
          </w:tcPr>
          <w:p w14:paraId="5B1710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23" w:type="dxa"/>
            <w:shd w:val="clear" w:color="auto" w:fill="FFFFFF"/>
            <w:noWrap w:val="0"/>
            <w:vAlign w:val="center"/>
          </w:tcPr>
          <w:p w14:paraId="0C236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w:t>
            </w:r>
          </w:p>
        </w:tc>
      </w:tr>
    </w:tbl>
    <w:p w14:paraId="693B22A4">
      <w:pPr>
        <w:pStyle w:val="2"/>
        <w:rPr>
          <w:rFonts w:hint="eastAsia"/>
          <w:lang w:val="en-US" w:eastAsia="zh-CN"/>
        </w:rPr>
      </w:pP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实施（交货）时间、地点及验收方式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2312" w:hAnsi="方正仿宋_GB2312" w:eastAsia="方正仿宋_GB2312" w:cs="方正仿宋_GB2312"/>
          <w:color w:val="000000"/>
          <w:sz w:val="24"/>
          <w:lang w:val="en-US" w:eastAsia="zh-CN"/>
        </w:rPr>
        <w:t>中标人需在合同签订后2日历天内与采购人确定所有柜子内部构造、样式、颜色并出具效果图，确认效果图后15日历天完成所有柜子的生产及安装，</w:t>
      </w:r>
      <w:r>
        <w:rPr>
          <w:rFonts w:hint="eastAsia" w:ascii="方正仿宋_GBK" w:hAnsi="方正仿宋_GBK" w:eastAsia="方正仿宋_GBK" w:cs="方正仿宋_GBK"/>
          <w:sz w:val="24"/>
          <w:szCs w:val="24"/>
          <w:lang w:val="en-US"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（二）实施（交货）地点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2312" w:hAnsi="方正仿宋_GB2312" w:eastAsia="方正仿宋_GB2312" w:cs="方正仿宋_GB2312"/>
          <w:color w:val="000000"/>
          <w:sz w:val="24"/>
          <w:lang w:val="en-US" w:eastAsia="zh-CN"/>
        </w:rPr>
      </w:pPr>
      <w:r>
        <w:rPr>
          <w:rFonts w:hint="eastAsia" w:ascii="方正仿宋_GBK" w:hAnsi="方正仿宋_GBK" w:eastAsia="方正仿宋_GBK" w:cs="方正仿宋_GBK"/>
          <w:sz w:val="24"/>
          <w:szCs w:val="24"/>
          <w:lang w:val="en-US" w:eastAsia="zh-CN"/>
        </w:rPr>
        <w:t>陈家桥医院</w:t>
      </w:r>
      <w:r>
        <w:rPr>
          <w:rFonts w:hint="eastAsia" w:ascii="方正仿宋_GB2312" w:hAnsi="方正仿宋_GB2312" w:eastAsia="方正仿宋_GB2312" w:cs="方正仿宋_GB2312"/>
          <w:color w:val="000000"/>
          <w:sz w:val="24"/>
          <w:lang w:val="en-US" w:eastAsia="zh-CN"/>
        </w:rPr>
        <w:t>肿瘤科、老年科病区。</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28923758">
      <w:pPr>
        <w:pStyle w:val="2"/>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方正仿宋_GBK" w:hAnsi="方正仿宋_GB2312" w:eastAsia="方正仿宋_GBK" w:cs="方正仿宋_GB2312"/>
          <w:color w:val="000000"/>
          <w:sz w:val="24"/>
          <w:lang w:val="en-US" w:eastAsia="zh-CN"/>
        </w:rPr>
      </w:pPr>
      <w:bookmarkStart w:id="7" w:name="_Toc464637620"/>
      <w:bookmarkStart w:id="8" w:name="_Toc19132"/>
      <w:bookmarkStart w:id="9" w:name="_Toc433726023"/>
      <w:bookmarkStart w:id="10" w:name="_Toc267320050"/>
      <w:r>
        <w:rPr>
          <w:rFonts w:hint="eastAsia" w:ascii="方正仿宋_GBK" w:hAnsi="方正仿宋_GB2312" w:eastAsia="方正仿宋_GBK" w:cs="方正仿宋_GB2312"/>
          <w:color w:val="000000"/>
          <w:sz w:val="24"/>
        </w:rPr>
        <w:t>产品的品种、型号、规格、数量、质量符合参数内容</w:t>
      </w:r>
      <w:r>
        <w:rPr>
          <w:rFonts w:hint="eastAsia" w:ascii="方正仿宋_GBK" w:hAnsi="方正仿宋_GB2312" w:eastAsia="方正仿宋_GBK" w:cs="方正仿宋_GB2312"/>
          <w:color w:val="000000"/>
          <w:sz w:val="24"/>
          <w:lang w:val="en-US" w:eastAsia="zh-CN"/>
        </w:rPr>
        <w:t>。</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w:t>
      </w:r>
      <w:r>
        <w:rPr>
          <w:rFonts w:hint="eastAsia" w:ascii="方正仿宋_GB2312" w:hAnsi="方正仿宋_GB2312" w:eastAsia="方正仿宋_GB2312" w:cs="方正仿宋_GB2312"/>
          <w:color w:val="000000"/>
          <w:sz w:val="24"/>
          <w:lang w:val="en-US" w:eastAsia="zh-CN"/>
        </w:rPr>
        <w:t>总价包干，</w:t>
      </w:r>
      <w:r>
        <w:rPr>
          <w:rFonts w:hint="eastAsia" w:ascii="方正仿宋_GBK" w:hAnsi="方正仿宋_GBK" w:eastAsia="方正仿宋_GBK" w:cs="方正仿宋_GBK"/>
          <w:sz w:val="24"/>
          <w:szCs w:val="24"/>
          <w:lang w:val="en-US" w:eastAsia="zh-CN"/>
        </w:rPr>
        <w:t>包含：货物、技术资料、货物的税费、运输费、安装费、保险费、包装费、装卸费、辅材费与货物有关的供方应纳的税费、售后服务费以及有关的其他费用等货到采购人指定地点的所有费用，进口产品填报含税价。</w:t>
      </w:r>
    </w:p>
    <w:bookmarkEnd w:id="10"/>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433726024"/>
      <w:bookmarkStart w:id="12" w:name="_Toc13737"/>
      <w:bookmarkStart w:id="13" w:name="_Toc464637621"/>
      <w:bookmarkStart w:id="14" w:name="_Toc433726026"/>
      <w:bookmarkStart w:id="15" w:name="_Toc464637622"/>
      <w:bookmarkStart w:id="16" w:name="_Toc267320051"/>
      <w:r>
        <w:rPr>
          <w:rFonts w:hint="eastAsia" w:ascii="宋体" w:hAnsi="宋体" w:eastAsia="黑体" w:cs="宋体"/>
          <w:b/>
          <w:sz w:val="28"/>
          <w:lang w:val="en-US" w:eastAsia="zh-CN"/>
        </w:rPr>
        <w:t>六、质量保证及</w:t>
      </w:r>
      <w:bookmarkEnd w:id="11"/>
      <w:bookmarkEnd w:id="12"/>
      <w:bookmarkEnd w:id="13"/>
      <w:r>
        <w:rPr>
          <w:rFonts w:hint="eastAsia" w:ascii="宋体" w:hAnsi="宋体" w:eastAsia="黑体" w:cs="宋体"/>
          <w:b/>
          <w:sz w:val="28"/>
          <w:lang w:val="en-US" w:eastAsia="zh-CN"/>
        </w:rPr>
        <w:t>违约责任</w:t>
      </w:r>
    </w:p>
    <w:p w14:paraId="610D02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33726025"/>
      <w:bookmarkStart w:id="18" w:name="_Toc426982280"/>
      <w:r>
        <w:rPr>
          <w:rFonts w:hint="eastAsia" w:ascii="方正仿宋_GBK" w:hAnsi="方正仿宋_GBK" w:eastAsia="方正仿宋_GBK" w:cs="方正仿宋_GBK"/>
          <w:sz w:val="24"/>
          <w:szCs w:val="24"/>
          <w:lang w:val="en-US" w:eastAsia="zh-CN"/>
        </w:rPr>
        <w:t xml:space="preserve"> （一）产品质量保证期</w:t>
      </w:r>
    </w:p>
    <w:p w14:paraId="0EE322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投标产品质量保证期1年，质保期自双方代表在验收合格单上签字之日起计算。</w:t>
      </w:r>
    </w:p>
    <w:p w14:paraId="14F540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（二）违约责任</w:t>
      </w:r>
    </w:p>
    <w:bookmarkEnd w:id="17"/>
    <w:bookmarkEnd w:id="18"/>
    <w:p w14:paraId="3DCD57C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bookmarkStart w:id="19" w:name="_Toc24020"/>
      <w:r>
        <w:rPr>
          <w:rFonts w:hint="eastAsia" w:ascii="方正仿宋_GBK" w:hAnsi="方正仿宋_GBK" w:eastAsia="方正仿宋_GBK" w:cs="方正仿宋_GBK"/>
          <w:sz w:val="24"/>
          <w:szCs w:val="24"/>
          <w:lang w:val="en-US" w:eastAsia="zh-CN"/>
        </w:rPr>
        <w:t>所有产品</w:t>
      </w:r>
      <w:r>
        <w:rPr>
          <w:rFonts w:hint="default" w:ascii="方正仿宋_GBK" w:hAnsi="方正仿宋_GBK" w:eastAsia="方正仿宋_GBK" w:cs="方正仿宋_GBK"/>
          <w:sz w:val="24"/>
          <w:szCs w:val="24"/>
          <w:lang w:val="en-US" w:eastAsia="zh-CN"/>
        </w:rPr>
        <w:t>按时按质按量安装到指定地点。因中标方原因造成工期延误，中标方需承担合同总金额30%的违约金，并赔偿因工期延误造成的其他损失，且医院有权解除合同，并将中标方纳入医院采购项目供应商黑名单库，禁止1年内参加医院的一切采购活动</w:t>
      </w:r>
      <w:r>
        <w:rPr>
          <w:rFonts w:hint="eastAsia" w:ascii="方正仿宋_GBK" w:hAnsi="方正仿宋_GBK" w:eastAsia="方正仿宋_GBK" w:cs="方正仿宋_GBK"/>
          <w:sz w:val="24"/>
          <w:szCs w:val="24"/>
          <w:lang w:val="en-US" w:eastAsia="zh-CN"/>
        </w:rPr>
        <w:t>。</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七、付款方式</w:t>
      </w:r>
      <w:bookmarkEnd w:id="14"/>
      <w:bookmarkEnd w:id="15"/>
      <w:bookmarkEnd w:id="16"/>
      <w:bookmarkEnd w:id="19"/>
    </w:p>
    <w:p w14:paraId="7F89752F">
      <w:pPr>
        <w:spacing w:line="360" w:lineRule="exact"/>
        <w:rPr>
          <w:rFonts w:hint="eastAsia" w:ascii="方正仿宋_GBK" w:hAnsi="方正仿宋_GBK" w:eastAsia="方正仿宋_GBK" w:cs="方正仿宋_GBK"/>
          <w:sz w:val="24"/>
          <w:szCs w:val="24"/>
          <w:lang w:val="en-US" w:eastAsia="zh-CN"/>
        </w:rPr>
      </w:pPr>
      <w:bookmarkStart w:id="20" w:name="_Toc417893344"/>
      <w:bookmarkStart w:id="21" w:name="_Toc267320052"/>
      <w:bookmarkStart w:id="22" w:name="_Toc464637623"/>
      <w:bookmarkStart w:id="23" w:name="_Toc433726027"/>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kern w:val="2"/>
          <w:sz w:val="24"/>
          <w:szCs w:val="24"/>
          <w:lang w:val="en-US" w:eastAsia="zh-CN" w:bidi="ar-SA"/>
        </w:rPr>
        <w:t>项目验收合格后，乙方开具合规的商业发票，甲方收到发票后5个工作日内启动付款流程，30个工作日内支付合同总额的97%，一年后之后至100%。</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5664B1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中标人对其提供的所有投标货物的安装、调试、使用、常见故障的排除、日常的维修、维护及保养等应尽免费培训的义务；使采购人和项目单位的使用人员能够正常操作。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6" w:name="_Toc433726028"/>
      <w:bookmarkStart w:id="27" w:name="_Toc3963"/>
      <w:bookmarkStart w:id="28" w:name="_Toc416792607"/>
      <w:bookmarkStart w:id="29" w:name="_Toc464637624"/>
      <w:r>
        <w:rPr>
          <w:rFonts w:hint="eastAsia" w:ascii="宋体" w:hAnsi="宋体" w:eastAsia="黑体" w:cs="宋体"/>
          <w:b/>
          <w:sz w:val="28"/>
          <w:lang w:val="en-US" w:eastAsia="zh-CN"/>
        </w:rPr>
        <w:t>九、知识产权</w:t>
      </w:r>
      <w:bookmarkEnd w:id="26"/>
      <w:bookmarkEnd w:id="27"/>
      <w:bookmarkEnd w:id="28"/>
      <w:bookmarkEnd w:id="29"/>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30" w:name="_Toc416792608"/>
      <w:bookmarkStart w:id="31" w:name="_Toc23473"/>
      <w:bookmarkStart w:id="32" w:name="_Toc433726029"/>
      <w:bookmarkStart w:id="33" w:name="_Toc464637625"/>
      <w:r>
        <w:rPr>
          <w:rFonts w:hint="eastAsia" w:ascii="宋体" w:hAnsi="宋体" w:eastAsia="黑体" w:cs="宋体"/>
          <w:b/>
          <w:sz w:val="28"/>
          <w:lang w:val="en-US" w:eastAsia="zh-CN"/>
        </w:rPr>
        <w:t>十、其他</w:t>
      </w:r>
      <w:bookmarkEnd w:id="30"/>
      <w:bookmarkEnd w:id="31"/>
      <w:bookmarkEnd w:id="32"/>
      <w:bookmarkEnd w:id="33"/>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443D4FA0">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052F8522">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296727A8">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2、报名开始时间：2025年11月5日10：00（北京时间）。</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3、报名截止时间：2025年10月5日10：30（北京时间）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十三</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庾老师</w:t>
      </w:r>
    </w:p>
    <w:p w14:paraId="5D5039D2">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1C9ECD5">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、报价要求</w:t>
      </w:r>
      <w:bookmarkEnd w:id="34"/>
    </w:p>
    <w:p w14:paraId="1F474BF4">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1、本项目投标报价为人民币报价，响应供应商应严格按照采购文件的要求逐项进行填报，且不得漏报、错报。</w:t>
      </w:r>
    </w:p>
    <w:p w14:paraId="6C9525C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2、本项目采取总价包干的承包方式，响应供应商的投标报价金额包括：采购项目所有设备、附属和辅材的制作、供货、包装运输、搬运、安装、验收、人员培训、技术咨询、</w:t>
      </w:r>
      <w:r>
        <w:rPr>
          <w:rFonts w:hint="eastAsia" w:ascii="方正仿宋_GBK" w:hAnsi="方正仿宋_GBK" w:eastAsia="方正仿宋_GBK" w:cs="方正仿宋_GBK"/>
          <w:sz w:val="24"/>
          <w:szCs w:val="24"/>
          <w:lang w:val="en-US" w:eastAsia="zh-CN"/>
        </w:rPr>
        <w:t>相关系统接口费、</w:t>
      </w:r>
      <w:r>
        <w:rPr>
          <w:rFonts w:hint="eastAsia" w:ascii="方正仿宋_GBK" w:hAnsi="方正仿宋_GBK" w:eastAsia="方正仿宋_GBK" w:cs="方正仿宋_GBK"/>
          <w:sz w:val="24"/>
          <w:szCs w:val="24"/>
        </w:rPr>
        <w:t>质保期内的保修维护服务、税金、合理利润及风险等所有费税。因响应供应商自身原因造成漏报、少报皆由其自行承担责任，采购人不再补偿。</w:t>
      </w:r>
    </w:p>
    <w:p w14:paraId="51605F75">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3、响应供应商对本项目的投标报价，应根据市场价格以及企业自身的实力自主报价。因投标报价估计不足或市场材料、设备价格波动，一律由成交供应商自行负责，采购人均不承担价差补偿。</w:t>
      </w:r>
    </w:p>
    <w:p w14:paraId="620E5D0C">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4、各潜在响应供应商自行前往现场实地勘察</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以做好参与投标的准备工作。无论响应供应商是否踏勘过现场，均被认为在递交投标文件之前已踏勘现场，对本项目的风险和义务已经了解，并在其投标文件中已充分考虑了现场和环境因素，踏勘现场所发生的费用及一切安全责任由响应供应商自行承担。</w:t>
      </w:r>
    </w:p>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十六</w:t>
      </w:r>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18094"/>
      <w:bookmarkStart w:id="38"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CE9B82-6164-4171-B228-B762D27A51C4}"/>
  </w:font>
  <w:font w:name="黑体">
    <w:panose1 w:val="02010609060101010101"/>
    <w:charset w:val="86"/>
    <w:family w:val="auto"/>
    <w:pitch w:val="default"/>
    <w:sig w:usb0="800002BF" w:usb1="38CF7CFA" w:usb2="00000016" w:usb3="00000000" w:csb0="00040001" w:csb1="00000000"/>
    <w:embedRegular r:id="rId2" w:fontKey="{A02DF273-2785-4C01-857E-578E8E6F6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C8E0F32-BBE6-4A86-9510-205985B71F33}"/>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4" w:fontKey="{26649F91-D64D-4D93-A597-7DC2F682357E}"/>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45FD1965-E907-4079-B0BD-1386651D082B}"/>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6" w:fontKey="{26070282-5FA1-444A-9B40-7441ED7E4066}"/>
  </w:font>
  <w:font w:name="方正仿宋_GB2312">
    <w:panose1 w:val="02000000000000000000"/>
    <w:charset w:val="86"/>
    <w:family w:val="auto"/>
    <w:pitch w:val="default"/>
    <w:sig w:usb0="A00002BF" w:usb1="184F6CFA" w:usb2="00000012" w:usb3="00000000" w:csb0="00040001" w:csb1="00000000"/>
    <w:embedRegular r:id="rId7" w:fontKey="{7E08ACE5-9187-460C-A514-23B6A08F89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0913EB"/>
    <w:rsid w:val="0B642CE9"/>
    <w:rsid w:val="0B8C422C"/>
    <w:rsid w:val="0BAE757D"/>
    <w:rsid w:val="0C112A04"/>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3C4726"/>
    <w:rsid w:val="4AED7BC5"/>
    <w:rsid w:val="4C3E42DF"/>
    <w:rsid w:val="4D155616"/>
    <w:rsid w:val="4DDD0570"/>
    <w:rsid w:val="4DFC79FB"/>
    <w:rsid w:val="4E3450A1"/>
    <w:rsid w:val="4E39670D"/>
    <w:rsid w:val="50897E60"/>
    <w:rsid w:val="50D41084"/>
    <w:rsid w:val="519A3A0B"/>
    <w:rsid w:val="52640910"/>
    <w:rsid w:val="532479B4"/>
    <w:rsid w:val="54ED2B20"/>
    <w:rsid w:val="57A74DE0"/>
    <w:rsid w:val="57B1418D"/>
    <w:rsid w:val="57D367F9"/>
    <w:rsid w:val="584F3B55"/>
    <w:rsid w:val="595D1A5F"/>
    <w:rsid w:val="5A0E2EF6"/>
    <w:rsid w:val="5AA62E48"/>
    <w:rsid w:val="5B433E2C"/>
    <w:rsid w:val="5B8B0992"/>
    <w:rsid w:val="5C9B1B86"/>
    <w:rsid w:val="5D755C5D"/>
    <w:rsid w:val="5E140461"/>
    <w:rsid w:val="5FD0254F"/>
    <w:rsid w:val="600E201D"/>
    <w:rsid w:val="61865E2A"/>
    <w:rsid w:val="61C56B56"/>
    <w:rsid w:val="63C92918"/>
    <w:rsid w:val="64623876"/>
    <w:rsid w:val="64A53C67"/>
    <w:rsid w:val="64FE2BB3"/>
    <w:rsid w:val="656C34D6"/>
    <w:rsid w:val="662750D1"/>
    <w:rsid w:val="66FC4E70"/>
    <w:rsid w:val="67EC4D0C"/>
    <w:rsid w:val="67FB1A94"/>
    <w:rsid w:val="684014B1"/>
    <w:rsid w:val="68DE65B8"/>
    <w:rsid w:val="69CE37CD"/>
    <w:rsid w:val="6B217DBD"/>
    <w:rsid w:val="6BF2253C"/>
    <w:rsid w:val="6C466C05"/>
    <w:rsid w:val="6E6935BC"/>
    <w:rsid w:val="704F4517"/>
    <w:rsid w:val="70C25921"/>
    <w:rsid w:val="710B35D9"/>
    <w:rsid w:val="72807126"/>
    <w:rsid w:val="72DC2F85"/>
    <w:rsid w:val="751A5716"/>
    <w:rsid w:val="754E7067"/>
    <w:rsid w:val="7620086F"/>
    <w:rsid w:val="76714C77"/>
    <w:rsid w:val="7852034C"/>
    <w:rsid w:val="79C964C0"/>
    <w:rsid w:val="79E2472F"/>
    <w:rsid w:val="7A235449"/>
    <w:rsid w:val="7A7E5C42"/>
    <w:rsid w:val="7A8A28F0"/>
    <w:rsid w:val="7A8A7445"/>
    <w:rsid w:val="7A9A5207"/>
    <w:rsid w:val="7B91123C"/>
    <w:rsid w:val="7BC745A4"/>
    <w:rsid w:val="7C6C3931"/>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8"/>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87"/>
    <w:autoRedefine/>
    <w:unhideWhenUsed/>
    <w:qFormat/>
    <w:uiPriority w:val="99"/>
    <w:rPr>
      <w:b/>
      <w:bCs/>
    </w:rPr>
  </w:style>
  <w:style w:type="paragraph" w:styleId="41">
    <w:name w:val="Body Text First Indent"/>
    <w:basedOn w:val="2"/>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4"/>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5"/>
    <w:autoRedefine/>
    <w:qFormat/>
    <w:uiPriority w:val="9"/>
    <w:rPr>
      <w:b/>
      <w:bCs/>
      <w:sz w:val="32"/>
      <w:szCs w:val="32"/>
    </w:rPr>
  </w:style>
  <w:style w:type="character" w:customStyle="1" w:styleId="60">
    <w:name w:val="标题 4 字符"/>
    <w:basedOn w:val="47"/>
    <w:link w:val="6"/>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3"/>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2"/>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7"/>
    <w:autoRedefine/>
    <w:qFormat/>
    <w:uiPriority w:val="9"/>
    <w:rPr>
      <w:rFonts w:eastAsia="方正仿宋_GBK" w:cstheme="minorBidi"/>
      <w:b/>
      <w:bCs/>
      <w:kern w:val="2"/>
      <w:sz w:val="24"/>
      <w:szCs w:val="21"/>
    </w:rPr>
  </w:style>
  <w:style w:type="character" w:customStyle="1" w:styleId="75">
    <w:name w:val="标题 6 字符"/>
    <w:basedOn w:val="47"/>
    <w:link w:val="8"/>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9"/>
    <w:autoRedefine/>
    <w:qFormat/>
    <w:uiPriority w:val="9"/>
    <w:rPr>
      <w:rFonts w:eastAsia="方正仿宋_GBK" w:cstheme="minorBidi"/>
      <w:b/>
      <w:bCs/>
      <w:kern w:val="2"/>
      <w:sz w:val="32"/>
      <w:szCs w:val="24"/>
    </w:rPr>
  </w:style>
  <w:style w:type="character" w:customStyle="1" w:styleId="77">
    <w:name w:val="标题 8 字符"/>
    <w:basedOn w:val="47"/>
    <w:link w:val="10"/>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1"/>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5"/>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6"/>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3"/>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3"/>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4"/>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5"/>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6"/>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8"/>
    <w:next w:val="8"/>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4"/>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2"/>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2"/>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4"/>
    <w:link w:val="271"/>
    <w:autoRedefine/>
    <w:qFormat/>
    <w:uiPriority w:val="0"/>
    <w:pPr>
      <w:ind w:firstLine="400"/>
      <w:jc w:val="center"/>
    </w:pPr>
  </w:style>
  <w:style w:type="character" w:customStyle="1" w:styleId="270">
    <w:name w:val="题注 字符"/>
    <w:basedOn w:val="47"/>
    <w:link w:val="14"/>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2"/>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2"/>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6030</Words>
  <Characters>6440</Characters>
  <Lines>159</Lines>
  <Paragraphs>45</Paragraphs>
  <TotalTime>23</TotalTime>
  <ScaleCrop>false</ScaleCrop>
  <LinksUpToDate>false</LinksUpToDate>
  <CharactersWithSpaces>7790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2025-10-31T02:26:34Z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