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高层建筑消防年度三方检测评估</w:t>
      </w:r>
    </w:p>
    <w:p w14:paraId="4544BCE4">
      <w:pPr>
        <w:pStyle w:val="63"/>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12</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618"/>
        <w:gridCol w:w="1907"/>
        <w:gridCol w:w="1275"/>
        <w:gridCol w:w="1940"/>
      </w:tblGrid>
      <w:tr w14:paraId="4C07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jc w:val="center"/>
        </w:trPr>
        <w:tc>
          <w:tcPr>
            <w:tcW w:w="2786"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618"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907" w:type="dxa"/>
            <w:vAlign w:val="center"/>
          </w:tcPr>
          <w:p w14:paraId="78C81132">
            <w:pPr>
              <w:widowControl/>
              <w:jc w:val="center"/>
              <w:rPr>
                <w:rFonts w:hint="eastAsia" w:ascii="方正仿宋_GBK" w:hAnsi="Calibri" w:eastAsia="方正仿宋_GBK" w:cs="宋体"/>
                <w:b/>
                <w:bCs/>
                <w:sz w:val="24"/>
                <w:szCs w:val="28"/>
                <w:lang w:eastAsia="zh-CN"/>
              </w:rPr>
            </w:pPr>
            <w:r>
              <w:rPr>
                <w:rFonts w:hint="eastAsia" w:ascii="方正仿宋_GBK" w:hAnsi="Calibri" w:eastAsia="方正仿宋_GBK" w:cs="宋体"/>
                <w:b/>
                <w:bCs/>
                <w:sz w:val="24"/>
                <w:szCs w:val="28"/>
                <w:lang w:val="en-US" w:eastAsia="zh-CN"/>
              </w:rPr>
              <w:t>面积</w:t>
            </w:r>
          </w:p>
        </w:tc>
        <w:tc>
          <w:tcPr>
            <w:tcW w:w="1275" w:type="dxa"/>
            <w:shd w:val="clear" w:color="auto" w:fill="auto"/>
            <w:vAlign w:val="center"/>
          </w:tcPr>
          <w:p w14:paraId="1CD1458B">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lang w:val="en-US" w:eastAsia="zh-CN"/>
              </w:rPr>
              <w:t>总金额（元）</w:t>
            </w:r>
          </w:p>
        </w:tc>
        <w:tc>
          <w:tcPr>
            <w:tcW w:w="1940" w:type="dxa"/>
            <w:shd w:val="clear" w:color="auto" w:fill="auto"/>
            <w:vAlign w:val="center"/>
          </w:tcPr>
          <w:p w14:paraId="39F1E652">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63A3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786"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高层建筑消防年度三方检测评估</w:t>
            </w:r>
          </w:p>
        </w:tc>
        <w:tc>
          <w:tcPr>
            <w:tcW w:w="1618"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0.5元/平方米</w:t>
            </w:r>
          </w:p>
        </w:tc>
        <w:tc>
          <w:tcPr>
            <w:tcW w:w="1907" w:type="dxa"/>
            <w:vAlign w:val="center"/>
          </w:tcPr>
          <w:p w14:paraId="088DF492">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约46000平方米</w:t>
            </w:r>
          </w:p>
        </w:tc>
        <w:tc>
          <w:tcPr>
            <w:tcW w:w="1275" w:type="dxa"/>
            <w:shd w:val="clear" w:color="auto" w:fill="auto"/>
            <w:vAlign w:val="center"/>
          </w:tcPr>
          <w:p w14:paraId="3D91B76E">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sz w:val="24"/>
                <w:szCs w:val="28"/>
                <w:lang w:val="en-US" w:eastAsia="zh-CN"/>
              </w:rPr>
              <w:t>约23000</w:t>
            </w:r>
          </w:p>
        </w:tc>
        <w:tc>
          <w:tcPr>
            <w:tcW w:w="1940" w:type="dxa"/>
            <w:shd w:val="clear" w:color="auto" w:fill="auto"/>
            <w:vAlign w:val="center"/>
          </w:tcPr>
          <w:p w14:paraId="0DAC8D79">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sz w:val="24"/>
                <w:szCs w:val="28"/>
                <w:lang w:val="en-US" w:eastAsia="zh-CN"/>
              </w:rPr>
              <w:t>面积为预估，以实际面积为准</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72BC68F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7.在全国“社会消防技术服务信息系统”注册通过的企业且执业范围须包含“消防设施维护保养检测及消防安全评估”两项业务；</w:t>
      </w:r>
    </w:p>
    <w:p w14:paraId="3756CEB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8.具有建设行政主管部门颁发的消防设施工程专业承包贰级及以上资质（提供证书复印件加盖章鲜章）。</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三、项目技术要求</w:t>
      </w:r>
      <w:bookmarkStart w:id="0" w:name="_Toc433726022"/>
      <w:bookmarkStart w:id="1" w:name="_Toc416792603"/>
      <w:bookmarkStart w:id="2" w:name="_Toc464637619"/>
      <w:bookmarkStart w:id="3" w:name="_Toc26735"/>
      <w:bookmarkStart w:id="4" w:name="_Toc267320049"/>
      <w:bookmarkStart w:id="5" w:name="_Toc23014"/>
      <w:bookmarkStart w:id="6" w:name="_Toc514962183"/>
    </w:p>
    <w:p w14:paraId="470607F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按照消防安全责任的管理规定，高层建筑消防设施安全需做年度</w:t>
      </w:r>
      <w:r>
        <w:rPr>
          <w:rFonts w:hint="default" w:ascii="方正仿宋_GBK" w:hAnsi="方正仿宋_GBK" w:eastAsia="方正仿宋_GBK" w:cs="方正仿宋_GBK"/>
          <w:sz w:val="24"/>
          <w:szCs w:val="24"/>
          <w:lang w:val="en-US" w:eastAsia="zh-CN"/>
        </w:rPr>
        <w:t>检测评估。</w:t>
      </w:r>
    </w:p>
    <w:p w14:paraId="64B57DE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建筑消防年度三方检测服务内容：对医院业务用房的消防供配电设施、火灾自动报警系统、火灾应急广播、消防通讯、水灭火系统、泡沫灭火系统、气体灭火系统、防排烟系统、防火卷帘、防火门、应急照明、疏散指示标志、消防电梯、灭火器等，按照国家和《重庆市地方标准建筑消防设施质量检测技术规程》DB50-24-2011标准的要求及建筑物通过消防设计审核时依据的消防相关规范和技术标准对本项目进行消防设施年度三方检测工作，并出具具有法律效力的检测报告（一式五份）。</w:t>
      </w:r>
    </w:p>
    <w:p w14:paraId="6B9013F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建筑消防年度三方评估服务内容：对医院业务用房的基本情况、消防安全管理、建筑防火、安全疏散及避难、消防控制室和消防设施、电气防火、消防标识、灭火救援、其他消防措施、保险等按照国家和《重庆市火灾高危单位消防安全评估规程》DB50/T632—2015标准的要求及建筑物通过消防设计审核时依据的消防相关规范和技术标准对本项目进行消防年度三方安全评估工作，并出具具有法律效力的评估报告（一式五份）。</w:t>
      </w:r>
    </w:p>
    <w:p w14:paraId="69FE6D91">
      <w:pPr>
        <w:pStyle w:val="2"/>
        <w:ind w:firstLine="480" w:firstLineChars="200"/>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3、检测评估内容</w:t>
      </w:r>
    </w:p>
    <w:tbl>
      <w:tblPr>
        <w:tblStyle w:val="43"/>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4968"/>
        <w:gridCol w:w="1147"/>
        <w:gridCol w:w="1175"/>
        <w:gridCol w:w="812"/>
      </w:tblGrid>
      <w:tr w14:paraId="09AB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0" w:type="pct"/>
            <w:gridSpan w:val="5"/>
            <w:noWrap w:val="0"/>
            <w:vAlign w:val="center"/>
          </w:tcPr>
          <w:p w14:paraId="6C1D73E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医院本部（建筑面积约40000平方米）</w:t>
            </w:r>
          </w:p>
        </w:tc>
      </w:tr>
      <w:tr w14:paraId="4F76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9333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654" w:type="pct"/>
            <w:noWrap w:val="0"/>
            <w:vAlign w:val="center"/>
          </w:tcPr>
          <w:p w14:paraId="3FAB4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612" w:type="pct"/>
            <w:noWrap w:val="0"/>
            <w:vAlign w:val="center"/>
          </w:tcPr>
          <w:p w14:paraId="1645A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627" w:type="pct"/>
            <w:noWrap w:val="0"/>
            <w:vAlign w:val="center"/>
          </w:tcPr>
          <w:p w14:paraId="05B5E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433" w:type="pct"/>
            <w:noWrap w:val="0"/>
            <w:vAlign w:val="center"/>
          </w:tcPr>
          <w:p w14:paraId="19DD142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备注</w:t>
            </w:r>
          </w:p>
        </w:tc>
      </w:tr>
      <w:tr w14:paraId="584A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26AF0C8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sz w:val="24"/>
                <w:szCs w:val="24"/>
                <w:u w:val="none"/>
                <w:lang w:val="en-US" w:eastAsia="zh-CN"/>
              </w:rPr>
              <w:t>1</w:t>
            </w:r>
          </w:p>
        </w:tc>
        <w:tc>
          <w:tcPr>
            <w:tcW w:w="2654" w:type="pct"/>
            <w:noWrap w:val="0"/>
            <w:vAlign w:val="center"/>
          </w:tcPr>
          <w:p w14:paraId="609E12C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消防报警主机</w:t>
            </w:r>
          </w:p>
        </w:tc>
        <w:tc>
          <w:tcPr>
            <w:tcW w:w="612" w:type="pct"/>
            <w:noWrap w:val="0"/>
            <w:vAlign w:val="center"/>
          </w:tcPr>
          <w:p w14:paraId="3C4E413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627" w:type="pct"/>
            <w:noWrap w:val="0"/>
            <w:vAlign w:val="center"/>
          </w:tcPr>
          <w:p w14:paraId="1D5CD9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54BEE9B0">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2B54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256AA2C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sz w:val="24"/>
                <w:szCs w:val="24"/>
                <w:u w:val="none"/>
                <w:lang w:val="en-US" w:eastAsia="zh-CN"/>
              </w:rPr>
              <w:t>2</w:t>
            </w:r>
          </w:p>
        </w:tc>
        <w:tc>
          <w:tcPr>
            <w:tcW w:w="2654" w:type="pct"/>
            <w:noWrap w:val="0"/>
            <w:vAlign w:val="center"/>
          </w:tcPr>
          <w:p w14:paraId="49E129B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消防风机（排烟、送风）</w:t>
            </w:r>
          </w:p>
        </w:tc>
        <w:tc>
          <w:tcPr>
            <w:tcW w:w="612" w:type="pct"/>
            <w:noWrap w:val="0"/>
            <w:vAlign w:val="center"/>
          </w:tcPr>
          <w:p w14:paraId="4EDEFFA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31</w:t>
            </w:r>
          </w:p>
        </w:tc>
        <w:tc>
          <w:tcPr>
            <w:tcW w:w="627" w:type="pct"/>
            <w:noWrap w:val="0"/>
            <w:vAlign w:val="center"/>
          </w:tcPr>
          <w:p w14:paraId="000CC7E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428E6429">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5B08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8F9CC3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2654" w:type="pct"/>
            <w:noWrap w:val="0"/>
            <w:vAlign w:val="center"/>
          </w:tcPr>
          <w:p w14:paraId="1314CE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喷淋泵</w:t>
            </w:r>
          </w:p>
        </w:tc>
        <w:tc>
          <w:tcPr>
            <w:tcW w:w="612" w:type="pct"/>
            <w:noWrap w:val="0"/>
            <w:vAlign w:val="center"/>
          </w:tcPr>
          <w:p w14:paraId="5D0E6E6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627" w:type="pct"/>
            <w:noWrap w:val="0"/>
            <w:vAlign w:val="center"/>
          </w:tcPr>
          <w:p w14:paraId="3B52CEE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74E749B4">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6E01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6002EC9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2654" w:type="pct"/>
            <w:noWrap w:val="0"/>
            <w:vAlign w:val="center"/>
          </w:tcPr>
          <w:p w14:paraId="1E79A4D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室内消火栓泵</w:t>
            </w:r>
          </w:p>
        </w:tc>
        <w:tc>
          <w:tcPr>
            <w:tcW w:w="612" w:type="pct"/>
            <w:noWrap w:val="0"/>
            <w:vAlign w:val="center"/>
          </w:tcPr>
          <w:p w14:paraId="0B5E18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627" w:type="pct"/>
            <w:noWrap w:val="0"/>
            <w:vAlign w:val="center"/>
          </w:tcPr>
          <w:p w14:paraId="4918324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645860F1">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2C03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050469E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w:t>
            </w:r>
          </w:p>
        </w:tc>
        <w:tc>
          <w:tcPr>
            <w:tcW w:w="2654" w:type="pct"/>
            <w:noWrap w:val="0"/>
            <w:vAlign w:val="center"/>
          </w:tcPr>
          <w:p w14:paraId="43FD839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室外消火栓泵</w:t>
            </w:r>
          </w:p>
        </w:tc>
        <w:tc>
          <w:tcPr>
            <w:tcW w:w="612" w:type="pct"/>
            <w:noWrap w:val="0"/>
            <w:vAlign w:val="center"/>
          </w:tcPr>
          <w:p w14:paraId="081B5DE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627" w:type="pct"/>
            <w:noWrap w:val="0"/>
            <w:vAlign w:val="center"/>
          </w:tcPr>
          <w:p w14:paraId="65CA376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41300BB2">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0EF5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00112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w:t>
            </w:r>
          </w:p>
        </w:tc>
        <w:tc>
          <w:tcPr>
            <w:tcW w:w="2654" w:type="pct"/>
            <w:noWrap w:val="0"/>
            <w:vAlign w:val="center"/>
          </w:tcPr>
          <w:p w14:paraId="4F25F80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烟感、温感及模块</w:t>
            </w:r>
          </w:p>
        </w:tc>
        <w:tc>
          <w:tcPr>
            <w:tcW w:w="612" w:type="pct"/>
            <w:noWrap w:val="0"/>
            <w:vAlign w:val="center"/>
          </w:tcPr>
          <w:p w14:paraId="7DB507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983</w:t>
            </w:r>
          </w:p>
        </w:tc>
        <w:tc>
          <w:tcPr>
            <w:tcW w:w="627" w:type="pct"/>
            <w:noWrap w:val="0"/>
            <w:vAlign w:val="center"/>
          </w:tcPr>
          <w:p w14:paraId="261F65B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04C6778B">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4269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1E50E7C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c>
          <w:tcPr>
            <w:tcW w:w="2654" w:type="pct"/>
            <w:noWrap w:val="0"/>
            <w:vAlign w:val="center"/>
          </w:tcPr>
          <w:p w14:paraId="08ECF61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防火卷帘</w:t>
            </w:r>
          </w:p>
        </w:tc>
        <w:tc>
          <w:tcPr>
            <w:tcW w:w="612" w:type="pct"/>
            <w:noWrap w:val="0"/>
            <w:vAlign w:val="center"/>
          </w:tcPr>
          <w:p w14:paraId="26E8024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45</w:t>
            </w:r>
          </w:p>
        </w:tc>
        <w:tc>
          <w:tcPr>
            <w:tcW w:w="627" w:type="pct"/>
            <w:noWrap w:val="0"/>
            <w:vAlign w:val="center"/>
          </w:tcPr>
          <w:p w14:paraId="1E62A98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樘</w:t>
            </w:r>
          </w:p>
        </w:tc>
        <w:tc>
          <w:tcPr>
            <w:tcW w:w="433" w:type="pct"/>
            <w:noWrap w:val="0"/>
            <w:vAlign w:val="center"/>
          </w:tcPr>
          <w:p w14:paraId="709871B7">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6B65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5DE30DD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w:t>
            </w:r>
          </w:p>
        </w:tc>
        <w:tc>
          <w:tcPr>
            <w:tcW w:w="2654" w:type="pct"/>
            <w:noWrap w:val="0"/>
            <w:vAlign w:val="center"/>
          </w:tcPr>
          <w:p w14:paraId="0662351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防火门</w:t>
            </w:r>
          </w:p>
        </w:tc>
        <w:tc>
          <w:tcPr>
            <w:tcW w:w="612" w:type="pct"/>
            <w:noWrap w:val="0"/>
            <w:vAlign w:val="center"/>
          </w:tcPr>
          <w:p w14:paraId="1A40615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157</w:t>
            </w:r>
          </w:p>
        </w:tc>
        <w:tc>
          <w:tcPr>
            <w:tcW w:w="627" w:type="pct"/>
            <w:noWrap w:val="0"/>
            <w:vAlign w:val="center"/>
          </w:tcPr>
          <w:p w14:paraId="4C7CCEE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樘</w:t>
            </w:r>
          </w:p>
        </w:tc>
        <w:tc>
          <w:tcPr>
            <w:tcW w:w="433" w:type="pct"/>
            <w:noWrap w:val="0"/>
            <w:vAlign w:val="center"/>
          </w:tcPr>
          <w:p w14:paraId="4C09C4D2">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36B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0D6E85C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w:t>
            </w:r>
          </w:p>
        </w:tc>
        <w:tc>
          <w:tcPr>
            <w:tcW w:w="2654" w:type="pct"/>
            <w:noWrap w:val="0"/>
            <w:vAlign w:val="center"/>
          </w:tcPr>
          <w:p w14:paraId="35651F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喷林头</w:t>
            </w:r>
          </w:p>
        </w:tc>
        <w:tc>
          <w:tcPr>
            <w:tcW w:w="612" w:type="pct"/>
            <w:noWrap w:val="0"/>
            <w:vAlign w:val="center"/>
          </w:tcPr>
          <w:p w14:paraId="37B71E7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2700</w:t>
            </w:r>
          </w:p>
        </w:tc>
        <w:tc>
          <w:tcPr>
            <w:tcW w:w="627" w:type="pct"/>
            <w:noWrap w:val="0"/>
            <w:vAlign w:val="center"/>
          </w:tcPr>
          <w:p w14:paraId="010F1B0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3D18C0DD">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386B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3BD5CD7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w:t>
            </w:r>
          </w:p>
        </w:tc>
        <w:tc>
          <w:tcPr>
            <w:tcW w:w="2654" w:type="pct"/>
            <w:noWrap w:val="0"/>
            <w:vAlign w:val="center"/>
          </w:tcPr>
          <w:p w14:paraId="65AFA95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逃生标识</w:t>
            </w:r>
          </w:p>
        </w:tc>
        <w:tc>
          <w:tcPr>
            <w:tcW w:w="612" w:type="pct"/>
            <w:noWrap w:val="0"/>
            <w:vAlign w:val="center"/>
          </w:tcPr>
          <w:p w14:paraId="173E2C0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266</w:t>
            </w:r>
          </w:p>
        </w:tc>
        <w:tc>
          <w:tcPr>
            <w:tcW w:w="627" w:type="pct"/>
            <w:noWrap w:val="0"/>
            <w:vAlign w:val="center"/>
          </w:tcPr>
          <w:p w14:paraId="4752BCE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06765A16">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5CB2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7B471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11</w:t>
            </w:r>
          </w:p>
        </w:tc>
        <w:tc>
          <w:tcPr>
            <w:tcW w:w="2654" w:type="pct"/>
            <w:noWrap w:val="0"/>
            <w:vAlign w:val="center"/>
          </w:tcPr>
          <w:p w14:paraId="50C0770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吸顶应急照明灯</w:t>
            </w:r>
          </w:p>
        </w:tc>
        <w:tc>
          <w:tcPr>
            <w:tcW w:w="612" w:type="pct"/>
            <w:noWrap w:val="0"/>
            <w:vAlign w:val="center"/>
          </w:tcPr>
          <w:p w14:paraId="73E6D5F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209</w:t>
            </w:r>
          </w:p>
        </w:tc>
        <w:tc>
          <w:tcPr>
            <w:tcW w:w="627" w:type="pct"/>
            <w:noWrap w:val="0"/>
            <w:vAlign w:val="center"/>
          </w:tcPr>
          <w:p w14:paraId="4A56DCC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0C698BC9">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3820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5430127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12</w:t>
            </w:r>
          </w:p>
        </w:tc>
        <w:tc>
          <w:tcPr>
            <w:tcW w:w="2654" w:type="pct"/>
            <w:noWrap w:val="0"/>
            <w:vAlign w:val="center"/>
          </w:tcPr>
          <w:p w14:paraId="6D0B8D5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消防栓</w:t>
            </w:r>
          </w:p>
        </w:tc>
        <w:tc>
          <w:tcPr>
            <w:tcW w:w="612" w:type="pct"/>
            <w:noWrap w:val="0"/>
            <w:vAlign w:val="center"/>
          </w:tcPr>
          <w:p w14:paraId="00395EF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226</w:t>
            </w:r>
          </w:p>
        </w:tc>
        <w:tc>
          <w:tcPr>
            <w:tcW w:w="627" w:type="pct"/>
            <w:noWrap w:val="0"/>
            <w:vAlign w:val="center"/>
          </w:tcPr>
          <w:p w14:paraId="493A1DD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174F23CD">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06E7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0" w:type="pct"/>
            <w:gridSpan w:val="5"/>
            <w:noWrap w:val="0"/>
            <w:vAlign w:val="center"/>
          </w:tcPr>
          <w:p w14:paraId="12D93D16">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lang w:val="en-US" w:eastAsia="zh-CN"/>
              </w:rPr>
              <w:t>医院中医特色院区（建筑面积6000平方米）</w:t>
            </w:r>
          </w:p>
        </w:tc>
      </w:tr>
      <w:tr w14:paraId="7EFB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63DE4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654" w:type="pct"/>
            <w:noWrap w:val="0"/>
            <w:vAlign w:val="center"/>
          </w:tcPr>
          <w:p w14:paraId="6B59F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612" w:type="pct"/>
            <w:noWrap w:val="0"/>
            <w:vAlign w:val="center"/>
          </w:tcPr>
          <w:p w14:paraId="03DC9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627" w:type="pct"/>
            <w:noWrap w:val="0"/>
            <w:vAlign w:val="center"/>
          </w:tcPr>
          <w:p w14:paraId="49260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433" w:type="pct"/>
            <w:noWrap w:val="0"/>
            <w:vAlign w:val="center"/>
          </w:tcPr>
          <w:p w14:paraId="14096FC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备注</w:t>
            </w:r>
          </w:p>
        </w:tc>
      </w:tr>
      <w:tr w14:paraId="58D3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5275575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2654" w:type="pct"/>
            <w:noWrap w:val="0"/>
            <w:vAlign w:val="center"/>
          </w:tcPr>
          <w:p w14:paraId="29C16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消防报警主机</w:t>
            </w:r>
          </w:p>
        </w:tc>
        <w:tc>
          <w:tcPr>
            <w:tcW w:w="612" w:type="pct"/>
            <w:noWrap w:val="0"/>
            <w:vAlign w:val="center"/>
          </w:tcPr>
          <w:p w14:paraId="17BFBE6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627" w:type="pct"/>
            <w:noWrap w:val="0"/>
            <w:vAlign w:val="center"/>
          </w:tcPr>
          <w:p w14:paraId="6FD0FBC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44954A94">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38E0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568C9F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2654" w:type="pct"/>
            <w:noWrap w:val="0"/>
            <w:vAlign w:val="center"/>
          </w:tcPr>
          <w:p w14:paraId="157DF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消防应急电源</w:t>
            </w:r>
          </w:p>
        </w:tc>
        <w:tc>
          <w:tcPr>
            <w:tcW w:w="612" w:type="pct"/>
            <w:noWrap w:val="0"/>
            <w:vAlign w:val="center"/>
          </w:tcPr>
          <w:p w14:paraId="4825BF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627" w:type="pct"/>
            <w:noWrap w:val="0"/>
            <w:vAlign w:val="center"/>
          </w:tcPr>
          <w:p w14:paraId="6254D62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4259C5C0">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5ED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03DAFE7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2654" w:type="pct"/>
            <w:noWrap w:val="0"/>
            <w:vAlign w:val="center"/>
          </w:tcPr>
          <w:p w14:paraId="5F445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火灾探测器及手动按钮</w:t>
            </w:r>
          </w:p>
        </w:tc>
        <w:tc>
          <w:tcPr>
            <w:tcW w:w="612" w:type="pct"/>
            <w:noWrap w:val="0"/>
            <w:vAlign w:val="center"/>
          </w:tcPr>
          <w:p w14:paraId="1FD3C2C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153</w:t>
            </w:r>
          </w:p>
        </w:tc>
        <w:tc>
          <w:tcPr>
            <w:tcW w:w="627" w:type="pct"/>
            <w:noWrap w:val="0"/>
            <w:vAlign w:val="center"/>
          </w:tcPr>
          <w:p w14:paraId="2283E6C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083B7ED6">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090C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6D25144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2654" w:type="pct"/>
            <w:noWrap w:val="0"/>
            <w:vAlign w:val="center"/>
          </w:tcPr>
          <w:p w14:paraId="148B3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输出模块</w:t>
            </w:r>
          </w:p>
        </w:tc>
        <w:tc>
          <w:tcPr>
            <w:tcW w:w="612" w:type="pct"/>
            <w:noWrap w:val="0"/>
            <w:vAlign w:val="center"/>
          </w:tcPr>
          <w:p w14:paraId="2F7E5E1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15</w:t>
            </w:r>
          </w:p>
        </w:tc>
        <w:tc>
          <w:tcPr>
            <w:tcW w:w="627" w:type="pct"/>
            <w:noWrap w:val="0"/>
            <w:vAlign w:val="center"/>
          </w:tcPr>
          <w:p w14:paraId="0E47BDE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3D3BB8AE">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6F4C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146142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w:t>
            </w:r>
          </w:p>
        </w:tc>
        <w:tc>
          <w:tcPr>
            <w:tcW w:w="2654" w:type="pct"/>
            <w:noWrap w:val="0"/>
            <w:vAlign w:val="center"/>
          </w:tcPr>
          <w:p w14:paraId="5F781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火灾警报器</w:t>
            </w:r>
          </w:p>
        </w:tc>
        <w:tc>
          <w:tcPr>
            <w:tcW w:w="612" w:type="pct"/>
            <w:noWrap w:val="0"/>
            <w:vAlign w:val="center"/>
          </w:tcPr>
          <w:p w14:paraId="1881D99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w:t>
            </w:r>
          </w:p>
        </w:tc>
        <w:tc>
          <w:tcPr>
            <w:tcW w:w="627" w:type="pct"/>
            <w:noWrap w:val="0"/>
            <w:vAlign w:val="center"/>
          </w:tcPr>
          <w:p w14:paraId="72DC160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6E4910E9">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7393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7A45701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w:t>
            </w:r>
          </w:p>
        </w:tc>
        <w:tc>
          <w:tcPr>
            <w:tcW w:w="2654" w:type="pct"/>
            <w:noWrap w:val="0"/>
            <w:vAlign w:val="center"/>
          </w:tcPr>
          <w:p w14:paraId="3E715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消防广播</w:t>
            </w:r>
          </w:p>
        </w:tc>
        <w:tc>
          <w:tcPr>
            <w:tcW w:w="612" w:type="pct"/>
            <w:noWrap w:val="0"/>
            <w:vAlign w:val="center"/>
          </w:tcPr>
          <w:p w14:paraId="63C43C1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627" w:type="pct"/>
            <w:noWrap w:val="0"/>
            <w:vAlign w:val="center"/>
          </w:tcPr>
          <w:p w14:paraId="7E58BC2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5BEFAA26">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3FF7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1C5EB17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c>
          <w:tcPr>
            <w:tcW w:w="2654" w:type="pct"/>
            <w:noWrap w:val="0"/>
            <w:vAlign w:val="center"/>
          </w:tcPr>
          <w:p w14:paraId="06D6F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消防水池</w:t>
            </w:r>
          </w:p>
        </w:tc>
        <w:tc>
          <w:tcPr>
            <w:tcW w:w="612" w:type="pct"/>
            <w:noWrap w:val="0"/>
            <w:vAlign w:val="center"/>
          </w:tcPr>
          <w:p w14:paraId="1B6B1C1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627" w:type="pct"/>
            <w:noWrap w:val="0"/>
            <w:vAlign w:val="center"/>
          </w:tcPr>
          <w:p w14:paraId="55D16FC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座</w:t>
            </w:r>
          </w:p>
        </w:tc>
        <w:tc>
          <w:tcPr>
            <w:tcW w:w="433" w:type="pct"/>
            <w:noWrap w:val="0"/>
            <w:vAlign w:val="center"/>
          </w:tcPr>
          <w:p w14:paraId="6EA63467">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0EB0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53FA9CB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w:t>
            </w:r>
          </w:p>
        </w:tc>
        <w:tc>
          <w:tcPr>
            <w:tcW w:w="2654" w:type="pct"/>
            <w:noWrap w:val="0"/>
            <w:vAlign w:val="center"/>
          </w:tcPr>
          <w:p w14:paraId="34937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消防水箱</w:t>
            </w:r>
          </w:p>
        </w:tc>
        <w:tc>
          <w:tcPr>
            <w:tcW w:w="612" w:type="pct"/>
            <w:noWrap w:val="0"/>
            <w:vAlign w:val="center"/>
          </w:tcPr>
          <w:p w14:paraId="7A8BE85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w:t>
            </w:r>
          </w:p>
        </w:tc>
        <w:tc>
          <w:tcPr>
            <w:tcW w:w="627" w:type="pct"/>
            <w:noWrap w:val="0"/>
            <w:vAlign w:val="center"/>
          </w:tcPr>
          <w:p w14:paraId="12433AC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个</w:t>
            </w:r>
          </w:p>
        </w:tc>
        <w:tc>
          <w:tcPr>
            <w:tcW w:w="433" w:type="pct"/>
            <w:noWrap w:val="0"/>
            <w:vAlign w:val="center"/>
          </w:tcPr>
          <w:p w14:paraId="650CFA1F">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r w14:paraId="112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1" w:type="pct"/>
            <w:noWrap w:val="0"/>
            <w:vAlign w:val="center"/>
          </w:tcPr>
          <w:p w14:paraId="43C8EEC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w:t>
            </w:r>
          </w:p>
        </w:tc>
        <w:tc>
          <w:tcPr>
            <w:tcW w:w="2654" w:type="pct"/>
            <w:noWrap w:val="0"/>
            <w:vAlign w:val="center"/>
          </w:tcPr>
          <w:p w14:paraId="42A8D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消防水泵</w:t>
            </w:r>
          </w:p>
        </w:tc>
        <w:tc>
          <w:tcPr>
            <w:tcW w:w="612" w:type="pct"/>
            <w:noWrap w:val="0"/>
            <w:vAlign w:val="center"/>
          </w:tcPr>
          <w:p w14:paraId="644A98F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627" w:type="pct"/>
            <w:noWrap w:val="0"/>
            <w:vAlign w:val="center"/>
          </w:tcPr>
          <w:p w14:paraId="061132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台</w:t>
            </w:r>
          </w:p>
        </w:tc>
        <w:tc>
          <w:tcPr>
            <w:tcW w:w="433" w:type="pct"/>
            <w:noWrap w:val="0"/>
            <w:vAlign w:val="center"/>
          </w:tcPr>
          <w:p w14:paraId="4C58588D">
            <w:pPr>
              <w:keepNext w:val="0"/>
              <w:keepLines w:val="0"/>
              <w:pageBreakBefore w:val="0"/>
              <w:kinsoku/>
              <w:wordWrap/>
              <w:overflowPunct/>
              <w:topLinePunct w:val="0"/>
              <w:autoSpaceDE/>
              <w:autoSpaceDN/>
              <w:bidi w:val="0"/>
              <w:spacing w:line="400" w:lineRule="exact"/>
              <w:jc w:val="center"/>
              <w:rPr>
                <w:rFonts w:hint="eastAsia" w:ascii="方正仿宋_GBK" w:hAnsi="方正仿宋_GBK" w:eastAsia="方正仿宋_GBK" w:cs="方正仿宋_GBK"/>
                <w:i w:val="0"/>
                <w:iCs w:val="0"/>
                <w:color w:val="000000"/>
                <w:sz w:val="24"/>
                <w:szCs w:val="24"/>
                <w:u w:val="none"/>
              </w:rPr>
            </w:pPr>
          </w:p>
        </w:tc>
      </w:tr>
    </w:tbl>
    <w:p w14:paraId="492E1D22">
      <w:pPr>
        <w:pStyle w:val="2"/>
        <w:rPr>
          <w:rFonts w:hint="eastAsia" w:ascii="方正仿宋_GBK" w:hAnsi="方正仿宋_GBK" w:eastAsia="方正仿宋_GBK" w:cs="方正仿宋_GBK"/>
          <w:i w:val="0"/>
          <w:iCs w:val="0"/>
          <w:color w:val="000000"/>
          <w:kern w:val="0"/>
          <w:sz w:val="24"/>
          <w:szCs w:val="24"/>
          <w:u w:val="none"/>
          <w:lang w:val="en-US" w:eastAsia="zh-CN" w:bidi="ar"/>
        </w:rPr>
      </w:pP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评估时间、地点及验收方式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000000"/>
          <w:sz w:val="24"/>
          <w:szCs w:val="24"/>
          <w:u w:val="none"/>
          <w:lang w:val="en-US" w:eastAsia="zh-CN"/>
        </w:rPr>
        <w:t>合同签订之日起15日内，出具消防年度三方检测评估报告，并按要求在社会消防技术服务信息系统上传报告</w:t>
      </w:r>
      <w:r>
        <w:rPr>
          <w:rFonts w:hint="eastAsia" w:ascii="方正仿宋_GBK" w:hAnsi="方正仿宋_GBK" w:eastAsia="方正仿宋_GBK" w:cs="方正仿宋_GBK"/>
          <w:i w:val="0"/>
          <w:iCs w:val="0"/>
          <w:color w:val="000000"/>
          <w:sz w:val="24"/>
          <w:szCs w:val="24"/>
          <w:u w:val="none"/>
          <w:lang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（二）评估地点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陈家桥医院，包含中医院区，面积约46000平方米。</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36CA223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7" w:name="_Toc433726023"/>
      <w:bookmarkStart w:id="8" w:name="_Toc19132"/>
      <w:bookmarkStart w:id="9" w:name="_Toc464637620"/>
      <w:bookmarkStart w:id="10" w:name="_Toc267320050"/>
      <w:r>
        <w:rPr>
          <w:rFonts w:hint="eastAsia" w:ascii="方正仿宋_GBK" w:hAnsi="方正仿宋_GBK" w:eastAsia="方正仿宋_GBK" w:cs="方正仿宋_GBK"/>
          <w:sz w:val="24"/>
          <w:szCs w:val="24"/>
          <w:lang w:val="en-US" w:eastAsia="zh-CN"/>
        </w:rPr>
        <w:t>以合格的评估报告为准。</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本次报价须为人民币报价，包含：评估费、人员费及供方应纳的税费、售后服务费以及有关的其他费用等货到采购人指定地点的所有费用，进口产品填报含税价。</w:t>
      </w:r>
    </w:p>
    <w:bookmarkEnd w:id="10"/>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33726024"/>
      <w:bookmarkStart w:id="12" w:name="_Toc13737"/>
      <w:bookmarkStart w:id="13" w:name="_Toc464637621"/>
      <w:bookmarkStart w:id="14" w:name="_Toc433726026"/>
      <w:bookmarkStart w:id="15" w:name="_Toc267320051"/>
      <w:bookmarkStart w:id="16" w:name="_Toc464637622"/>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方正仿宋_GBK" w:hAnsi="方正仿宋_GBK" w:eastAsia="方正仿宋_GBK" w:cs="方正仿宋_GBK"/>
          <w:sz w:val="24"/>
          <w:szCs w:val="24"/>
          <w:lang w:val="en-US" w:eastAsia="zh-CN"/>
        </w:rPr>
      </w:pPr>
      <w:bookmarkStart w:id="18" w:name="_Toc267320052"/>
      <w:bookmarkStart w:id="19" w:name="_Toc433726027"/>
      <w:bookmarkStart w:id="20" w:name="_Toc464637623"/>
      <w:bookmarkStart w:id="21" w:name="_Toc417893344"/>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4"/>
          <w:lang w:val="en-US" w:eastAsia="zh-CN" w:bidi="ar-SA"/>
        </w:rPr>
        <w:t>收到合格的报告后，乙方开具合规的商业发票，甲方收到发票后5个工作日内启动付款流程，30个工作日内支付合同总额的100%。</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64637624"/>
      <w:bookmarkStart w:id="23" w:name="_Toc3963"/>
      <w:bookmarkStart w:id="24" w:name="_Toc433726028"/>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3C2FDE8D">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160C3D4B">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1、报名截止时间2026年1月13</w:t>
      </w:r>
      <w:bookmarkStart w:id="33" w:name="_GoBack"/>
      <w:bookmarkEnd w:id="33"/>
      <w:r>
        <w:rPr>
          <w:rFonts w:hint="eastAsia" w:ascii="方正仿宋_GBK" w:hAnsi="方正仿宋_GBK" w:eastAsia="方正仿宋_GBK" w:cs="方正仿宋_GBK"/>
          <w:sz w:val="24"/>
          <w:szCs w:val="24"/>
          <w:lang w:val="en-US" w:eastAsia="zh-CN"/>
        </w:rPr>
        <w:t>日11：00（北京时间）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朱老师</w:t>
      </w:r>
    </w:p>
    <w:p w14:paraId="5D5039D2">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话：18523337225</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01015E4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6F79DE9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BC3B2A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D796A0D">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2AF987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BBB7621">
      <w:pPr>
        <w:widowControl/>
        <w:jc w:val="left"/>
        <w:rPr>
          <w:rFonts w:ascii="Calibri" w:hAnsi="Calibri" w:eastAsia="仿宋_GB2312" w:cs="宋体"/>
          <w:sz w:val="24"/>
          <w:szCs w:val="24"/>
        </w:rPr>
      </w:pPr>
    </w:p>
    <w:p w14:paraId="73357977">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bookmarkStart w:id="27" w:name="_Toc17074"/>
      <w:r>
        <w:rPr>
          <w:rFonts w:hint="eastAsia" w:ascii="宋体" w:hAnsi="宋体" w:eastAsia="黑体" w:cs="宋体"/>
          <w:b/>
          <w:sz w:val="30"/>
          <w:szCs w:val="28"/>
        </w:rPr>
        <w:t>供应商编制响应文件要求</w:t>
      </w:r>
    </w:p>
    <w:p w14:paraId="0C12CE18">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18094"/>
      <w:bookmarkStart w:id="30"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309D4424"/>
    <w:rsid w:val="31C808B4"/>
    <w:rsid w:val="34181C02"/>
    <w:rsid w:val="3423303B"/>
    <w:rsid w:val="35B17B91"/>
    <w:rsid w:val="35BD7BAA"/>
    <w:rsid w:val="38106BE9"/>
    <w:rsid w:val="387C16D5"/>
    <w:rsid w:val="3B6F4DCA"/>
    <w:rsid w:val="3C2B6D87"/>
    <w:rsid w:val="3C2D6367"/>
    <w:rsid w:val="3EC66A70"/>
    <w:rsid w:val="3F95733A"/>
    <w:rsid w:val="406E2D1D"/>
    <w:rsid w:val="40F84A00"/>
    <w:rsid w:val="412874F2"/>
    <w:rsid w:val="415215C9"/>
    <w:rsid w:val="42955FAB"/>
    <w:rsid w:val="4337432A"/>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w:basedOn w:val="1"/>
    <w:next w:val="1"/>
    <w:link w:val="69"/>
    <w:autoRedefine/>
    <w:unhideWhenUsed/>
    <w:qFormat/>
    <w:uiPriority w:val="99"/>
    <w:pPr>
      <w:spacing w:after="120"/>
    </w:pPr>
  </w:style>
  <w:style w:type="paragraph" w:styleId="18">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9">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0">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1">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2">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3">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17"/>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8"/>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7"/>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1"/>
    <w:autoRedefine/>
    <w:qFormat/>
    <w:uiPriority w:val="99"/>
    <w:rPr>
      <w:rFonts w:hAnsi="Courier New" w:eastAsia="等线" w:cs="Courier New"/>
      <w:kern w:val="2"/>
      <w:sz w:val="32"/>
      <w:szCs w:val="21"/>
    </w:rPr>
  </w:style>
  <w:style w:type="character" w:customStyle="1" w:styleId="83">
    <w:name w:val="日期 字符"/>
    <w:basedOn w:val="48"/>
    <w:link w:val="23"/>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8"/>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0"/>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7"/>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7"/>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7"/>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7"/>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3585</Words>
  <Characters>3764</Characters>
  <Lines>159</Lines>
  <Paragraphs>45</Paragraphs>
  <TotalTime>0</TotalTime>
  <ScaleCrop>false</ScaleCrop>
  <LinksUpToDate>false</LinksUpToDate>
  <CharactersWithSpaces>4984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2026-01-08T06:28:20Z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