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妇产科妇科康复中心空调改造</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妇产科妇科康复中心空调改造</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25000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4A4B63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6.具有电气安装服务，制冷、空调设备销售营业许可；</w:t>
      </w:r>
    </w:p>
    <w:p w14:paraId="209ECE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7.具有电气设备修理、电子、机械设备维护营业许可；</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8.法律、行政法规规定的其他条件。</w:t>
      </w:r>
    </w:p>
    <w:p w14:paraId="01B645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（二）特定资格条件：</w:t>
      </w:r>
    </w:p>
    <w:p w14:paraId="2E1E60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供应商应具备建筑机电安装工程专业承包叁级及以上资质。</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33726022"/>
      <w:bookmarkStart w:id="2" w:name="_Toc416792603"/>
      <w:bookmarkStart w:id="3" w:name="_Toc464637619"/>
      <w:bookmarkStart w:id="4" w:name="_Toc267320049"/>
      <w:bookmarkStart w:id="5" w:name="_Toc514962183"/>
      <w:bookmarkStart w:id="6" w:name="_Toc23014"/>
    </w:p>
    <w:p w14:paraId="6523FB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（一）项目概况：</w:t>
      </w:r>
    </w:p>
    <w:p w14:paraId="759A1A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妇产科门诊妇科康复中心空调改造，需增加空调盘管3套，复用原有空调盘管1套，新增排风风机1套。</w:t>
      </w:r>
    </w:p>
    <w:p w14:paraId="07487C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方正仿宋_GBK" w:hAnsi="方正仿宋_GBK" w:eastAsia="方正仿宋_GBK" w:cs="方正仿宋_GBK"/>
          <w:sz w:val="24"/>
          <w:szCs w:val="24"/>
          <w:lang w:val="en-US" w:eastAsia="zh-CN"/>
        </w:rPr>
      </w:pPr>
      <w:r>
        <w:rPr>
          <w:rFonts w:hint="eastAsia" w:ascii="仿宋" w:eastAsia="仿宋" w:cs="仿宋"/>
          <w:sz w:val="24"/>
          <w:szCs w:val="24"/>
          <w:rtl w:val="0"/>
          <w:lang w:val="en-US" w:eastAsia="zh-CN"/>
        </w:rPr>
        <w:t>（二）主要内容</w:t>
      </w:r>
    </w:p>
    <w:p w14:paraId="189B9E0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1.新增暗装风机盘管3台，FP-136、FP-51、FP-34</w:t>
      </w:r>
    </w:p>
    <w:p w14:paraId="389145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2.新增暗装静音排风机1台，920㎥/H/380V                                                                       </w:t>
      </w:r>
    </w:p>
    <w:p w14:paraId="52BCF46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3.酚醛风管厚度20mm：最少需要12㎡</w:t>
      </w:r>
    </w:p>
    <w:p w14:paraId="312F1B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4.白铁皮风管0.8mm：最少需要12㎡</w:t>
      </w:r>
    </w:p>
    <w:p w14:paraId="576F282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5.冷冻水管DN20：最少需要24m</w:t>
      </w:r>
    </w:p>
    <w:p w14:paraId="43BD509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6.冷凝水管DN25：最少需要12m</w:t>
      </w:r>
    </w:p>
    <w:p w14:paraId="1F4ADEB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7.铜闸阀DN20：最少需要6个</w:t>
      </w:r>
    </w:p>
    <w:p w14:paraId="2CA5046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8.电动二通阀DN20：最少需要3个 </w:t>
      </w:r>
    </w:p>
    <w:p w14:paraId="58ACE6A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9.不锈钢软接DN20：最少需要6个</w:t>
      </w:r>
    </w:p>
    <w:p w14:paraId="49F8F1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10.温控开关86型：最少需要3个</w:t>
      </w:r>
    </w:p>
    <w:p w14:paraId="051FDED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11.电源线、控制线：适配</w:t>
      </w:r>
    </w:p>
    <w:p w14:paraId="6454096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12.橡塑保温DN20×20mm：最少需要24米 </w:t>
      </w:r>
    </w:p>
    <w:p w14:paraId="4803D5B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13.橡塑保温DN25×10mm：最少需要12米</w:t>
      </w:r>
    </w:p>
    <w:p w14:paraId="4DDFE4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14.帆布软接：最少需要14个</w:t>
      </w:r>
    </w:p>
    <w:p w14:paraId="6FBB958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15.风口：11个</w:t>
      </w:r>
    </w:p>
    <w:p w14:paraId="0DFE610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备注：工程量清单内容包含但不限于以上要求，以满足现场实际需求为准</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成交供应商应在合同签订后20个日历天内完成妇产科门诊产科康复中心中央空调改造安装工作。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陈家桥医院妇产科门诊产科康复中心</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64637620"/>
      <w:bookmarkStart w:id="8" w:name="_Toc19132"/>
      <w:bookmarkStart w:id="9" w:name="_Toc433726023"/>
      <w:bookmarkStart w:id="10" w:name="_Toc267320050"/>
      <w:r>
        <w:rPr>
          <w:rFonts w:hint="eastAsia" w:ascii="仿宋" w:eastAsia="仿宋" w:cs="仿宋"/>
          <w:sz w:val="24"/>
          <w:szCs w:val="24"/>
          <w:rtl w:val="0"/>
          <w:lang w:val="en-US" w:eastAsia="zh-CN"/>
        </w:rPr>
        <w:t>（三）验收方式：</w:t>
      </w:r>
    </w:p>
    <w:p w14:paraId="53E807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1.进场验收：设备材料到场，由采购人组织设备材料验收，满足相应的技术规格与参数、材质等相关需求，则验收合格方能安装使用。验收不合格的设备材料由供应商自行退场。</w:t>
      </w:r>
    </w:p>
    <w:p w14:paraId="2049B9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2.工艺与功能验收：设备材料安装完成供应商先行自检，自检合格后再报采购人进行工艺与功能验收，满足采购需求的工艺与功能则验收合格。若验收不合格供应商自行整改。</w:t>
      </w:r>
    </w:p>
    <w:p w14:paraId="0F0302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3.目标验收：验收合格且调试完成。由施工单位出具验收检测报告，满足《通风与空调工程施工质量验收规范》GB50243-2016则验收合格，若验收不合格施工单位自行整改。</w:t>
      </w:r>
    </w:p>
    <w:p w14:paraId="670DF7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五、质量保证期及人员要求</w:t>
      </w:r>
    </w:p>
    <w:p w14:paraId="4F04C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（一）质量保证期：</w:t>
      </w:r>
    </w:p>
    <w:p w14:paraId="60F544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项目通过验收合格之日起提供1年整体质保。</w:t>
      </w:r>
    </w:p>
    <w:p w14:paraId="0AAA9B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（二）人员要求</w:t>
      </w:r>
    </w:p>
    <w:p w14:paraId="516C93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1.项目经理1名，要求具有3年以上中央空调项目管理经验；</w:t>
      </w:r>
    </w:p>
    <w:p w14:paraId="372C83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2.设备安装人员2名，需持有电工证。</w:t>
      </w:r>
    </w:p>
    <w:p w14:paraId="6F2109E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以上人员要求提供相应证明文件及供应商为其缴纳的近半年社保证明材料并加盖供应商公章，原件备查。</w:t>
      </w:r>
    </w:p>
    <w:p w14:paraId="45EAC9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（三）业绩要求</w:t>
      </w:r>
    </w:p>
    <w:p w14:paraId="51DE1E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供应商具有中央空调的安装业绩1个及以上，提供业绩合同复印件。</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报价要求</w:t>
      </w:r>
      <w:bookmarkEnd w:id="7"/>
      <w:bookmarkEnd w:id="8"/>
      <w:bookmarkEnd w:id="9"/>
    </w:p>
    <w:bookmarkEnd w:id="10"/>
    <w:p w14:paraId="7BA74D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13737"/>
      <w:bookmarkStart w:id="12" w:name="_Toc464637621"/>
      <w:bookmarkStart w:id="13" w:name="_Toc433726024"/>
      <w:bookmarkStart w:id="14" w:name="_Toc433726026"/>
      <w:bookmarkStart w:id="15" w:name="_Toc464637622"/>
      <w:bookmarkStart w:id="16" w:name="_Toc267320051"/>
      <w:r>
        <w:rPr>
          <w:rFonts w:hint="eastAsia" w:ascii="仿宋" w:hAnsi="仿宋" w:eastAsia="仿宋" w:cs="仿宋"/>
          <w:sz w:val="24"/>
          <w:szCs w:val="24"/>
          <w:lang w:val="en-US" w:eastAsia="zh-CN"/>
        </w:rPr>
        <w:t>报价方式：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仿宋" w:hAnsi="仿宋" w:eastAsia="仿宋" w:cs="仿宋"/>
          <w:sz w:val="24"/>
          <w:szCs w:val="24"/>
          <w:lang w:val="en-US" w:eastAsia="zh-CN"/>
        </w:rPr>
      </w:pPr>
      <w:bookmarkStart w:id="18" w:name="_Toc433726027"/>
      <w:bookmarkStart w:id="19" w:name="_Toc464637623"/>
      <w:bookmarkStart w:id="20" w:name="_Toc267320052"/>
      <w:bookmarkStart w:id="21" w:name="_Toc417893344"/>
      <w:r>
        <w:rPr>
          <w:rFonts w:hint="eastAsia" w:ascii="方正仿宋_GBK" w:hAnsi="方正仿宋_GBK" w:eastAsia="方正仿宋_GBK" w:cs="方正仿宋_GBK"/>
          <w:sz w:val="24"/>
          <w:szCs w:val="24"/>
          <w:lang w:val="en-US" w:eastAsia="zh-CN"/>
        </w:rPr>
        <w:t xml:space="preserve">  </w:t>
      </w:r>
      <w:r>
        <w:rPr>
          <w:rFonts w:hint="eastAsia" w:ascii="仿宋" w:hAnsi="仿宋" w:eastAsia="仿宋" w:cs="仿宋"/>
          <w:sz w:val="24"/>
          <w:szCs w:val="24"/>
          <w:lang w:val="en-US" w:eastAsia="zh-CN"/>
        </w:rPr>
        <w:t>项目完成并验收合格后支付至合同款95%，一年后支付至100%。</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33726028"/>
      <w:bookmarkStart w:id="23" w:name="_Toc464637624"/>
      <w:bookmarkStart w:id="24" w:name="_Toc3963"/>
      <w:bookmarkStart w:id="25" w:name="_Toc416792607"/>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443D4FA0">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3CFCAED4">
      <w:pPr>
        <w:pStyle w:val="2"/>
        <w:ind w:firstLine="480" w:firstLineChars="200"/>
        <w:rPr>
          <w:rFonts w:hint="default"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3、投标文件需包含一份响应文件扫描件。</w:t>
      </w:r>
    </w:p>
    <w:p w14:paraId="052F8522">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1、报名截止时间2025年1月16日16：3</w:t>
      </w:r>
      <w:bookmarkStart w:id="33" w:name="_GoBack"/>
      <w:bookmarkEnd w:id="33"/>
      <w:r>
        <w:rPr>
          <w:rFonts w:hint="eastAsia" w:ascii="方正仿宋_GBK" w:hAnsi="方正仿宋_GBK" w:eastAsia="方正仿宋_GBK" w:cs="方正仿宋_GBK"/>
          <w:sz w:val="24"/>
          <w:szCs w:val="24"/>
          <w:lang w:val="en-US" w:eastAsia="zh-CN"/>
        </w:rPr>
        <w:t>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165A505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9F524C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C40740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E348A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FE4E0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4CE79642">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477027621"/>
      <w:bookmarkStart w:id="30" w:name="_Toc18094"/>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D44778"/>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600E201D"/>
    <w:rsid w:val="602F210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123CD9"/>
    <w:rsid w:val="6C466C05"/>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3633</Words>
  <Characters>3855</Characters>
  <Lines>159</Lines>
  <Paragraphs>45</Paragraphs>
  <TotalTime>8</TotalTime>
  <ScaleCrop>false</ScaleCrop>
  <LinksUpToDate>false</LinksUpToDate>
  <CharactersWithSpaces>5146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2026-01-13T08:32:17Z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