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76C1CD87">
      <w:pPr>
        <w:spacing w:after="120"/>
        <w:jc w:val="center"/>
        <w:rPr>
          <w:rFonts w:hint="eastAsia" w:ascii="方正黑体_GBK" w:hAnsi="黑体" w:eastAsia="方正黑体_GBK" w:cs="Times New Roman"/>
          <w:b/>
          <w:smallCaps/>
          <w:kern w:val="28"/>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眼底诊断信息系</w:t>
      </w:r>
      <w:bookmarkStart w:id="29" w:name="_GoBack"/>
      <w:bookmarkEnd w:id="29"/>
      <w:r>
        <w:rPr>
          <w:rFonts w:hint="eastAsia" w:ascii="方正黑体_GBK" w:hAnsi="黑体" w:eastAsia="方正黑体_GBK" w:cs="Times New Roman"/>
          <w:sz w:val="36"/>
          <w:szCs w:val="30"/>
          <w:lang w:val="en-US" w:eastAsia="zh-CN"/>
        </w:rPr>
        <w:t>统</w:t>
      </w: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3</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65C8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3CBFFBD1">
            <w:pPr>
              <w:widowControl/>
              <w:jc w:val="center"/>
              <w:rPr>
                <w:rFonts w:hint="eastAsia"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1471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眼底诊断信息系统</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150000</w:t>
            </w:r>
          </w:p>
        </w:tc>
        <w:tc>
          <w:tcPr>
            <w:tcW w:w="1833" w:type="dxa"/>
            <w:shd w:val="clear" w:color="auto" w:fill="auto"/>
            <w:vAlign w:val="center"/>
          </w:tcPr>
          <w:p w14:paraId="53076C67">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33726022"/>
      <w:bookmarkStart w:id="1" w:name="_Toc464637619"/>
      <w:bookmarkStart w:id="2" w:name="_Toc26735"/>
      <w:bookmarkStart w:id="3" w:name="_Toc416792603"/>
      <w:bookmarkStart w:id="4" w:name="_Toc267320049"/>
      <w:bookmarkStart w:id="5" w:name="_Toc514962183"/>
      <w:bookmarkStart w:id="6" w:name="_Toc23014"/>
    </w:p>
    <w:p w14:paraId="1748E8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b/>
          <w:bCs/>
          <w:sz w:val="24"/>
          <w:szCs w:val="24"/>
          <w:rtl w:val="0"/>
          <w:lang w:val="en-US" w:eastAsia="zh-CN"/>
        </w:rPr>
      </w:pPr>
      <w:r>
        <w:rPr>
          <w:rFonts w:hint="eastAsia" w:ascii="仿宋" w:eastAsia="仿宋" w:cs="仿宋"/>
          <w:b/>
          <w:bCs/>
          <w:sz w:val="24"/>
          <w:szCs w:val="24"/>
          <w:rtl w:val="0"/>
          <w:lang w:val="en-US" w:eastAsia="zh-CN"/>
        </w:rPr>
        <w:t>功能模块需求明细：</w:t>
      </w:r>
    </w:p>
    <w:tbl>
      <w:tblPr>
        <w:tblStyle w:val="44"/>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11"/>
        <w:gridCol w:w="6945"/>
      </w:tblGrid>
      <w:tr w14:paraId="5329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6C9A9059">
            <w:pPr>
              <w:spacing w:after="0" w:line="240" w:lineRule="auto"/>
              <w:jc w:val="center"/>
              <w:rPr>
                <w:rFonts w:hint="eastAsia" w:ascii="宋体" w:hAnsi="宋体" w:eastAsia="宋体"/>
                <w:b/>
                <w:bCs/>
                <w:sz w:val="24"/>
              </w:rPr>
            </w:pPr>
            <w:r>
              <w:rPr>
                <w:rFonts w:hint="eastAsia" w:ascii="宋体" w:hAnsi="宋体" w:eastAsia="宋体"/>
                <w:b/>
                <w:bCs/>
                <w:sz w:val="24"/>
              </w:rPr>
              <w:t>序号</w:t>
            </w:r>
          </w:p>
        </w:tc>
        <w:tc>
          <w:tcPr>
            <w:tcW w:w="1311" w:type="dxa"/>
            <w:noWrap w:val="0"/>
            <w:vAlign w:val="center"/>
          </w:tcPr>
          <w:p w14:paraId="2AFC9E92">
            <w:pPr>
              <w:spacing w:after="0" w:line="240" w:lineRule="auto"/>
              <w:jc w:val="center"/>
              <w:rPr>
                <w:rFonts w:hint="eastAsia" w:ascii="宋体" w:hAnsi="宋体" w:eastAsia="宋体"/>
                <w:b/>
                <w:bCs/>
                <w:sz w:val="24"/>
              </w:rPr>
            </w:pPr>
            <w:r>
              <w:rPr>
                <w:rFonts w:hint="eastAsia" w:ascii="宋体" w:hAnsi="宋体" w:eastAsia="宋体"/>
                <w:b/>
                <w:bCs/>
                <w:sz w:val="24"/>
              </w:rPr>
              <w:t>功能模块</w:t>
            </w:r>
          </w:p>
        </w:tc>
        <w:tc>
          <w:tcPr>
            <w:tcW w:w="6945" w:type="dxa"/>
            <w:noWrap w:val="0"/>
            <w:vAlign w:val="center"/>
          </w:tcPr>
          <w:p w14:paraId="31EABB3D">
            <w:pPr>
              <w:spacing w:after="0" w:line="240" w:lineRule="auto"/>
              <w:jc w:val="center"/>
              <w:rPr>
                <w:rFonts w:hint="eastAsia" w:ascii="宋体" w:hAnsi="宋体" w:eastAsia="宋体"/>
                <w:b/>
                <w:bCs/>
                <w:sz w:val="24"/>
              </w:rPr>
            </w:pPr>
            <w:r>
              <w:rPr>
                <w:rFonts w:hint="eastAsia" w:ascii="宋体" w:hAnsi="宋体" w:eastAsia="宋体"/>
                <w:b/>
                <w:bCs/>
                <w:sz w:val="24"/>
              </w:rPr>
              <w:t>功能说明</w:t>
            </w:r>
          </w:p>
        </w:tc>
      </w:tr>
      <w:tr w14:paraId="41EA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26EA23AD">
            <w:pPr>
              <w:spacing w:after="0" w:line="240" w:lineRule="auto"/>
              <w:jc w:val="center"/>
              <w:rPr>
                <w:rFonts w:hint="eastAsia" w:ascii="宋体" w:hAnsi="宋体" w:eastAsia="宋体"/>
                <w:sz w:val="24"/>
              </w:rPr>
            </w:pPr>
            <w:r>
              <w:rPr>
                <w:rFonts w:hint="eastAsia" w:ascii="宋体" w:hAnsi="宋体" w:eastAsia="宋体"/>
                <w:sz w:val="24"/>
              </w:rPr>
              <w:t>1</w:t>
            </w:r>
          </w:p>
        </w:tc>
        <w:tc>
          <w:tcPr>
            <w:tcW w:w="1311" w:type="dxa"/>
            <w:vMerge w:val="restart"/>
            <w:noWrap w:val="0"/>
            <w:vAlign w:val="center"/>
          </w:tcPr>
          <w:p w14:paraId="77EF838F">
            <w:pPr>
              <w:spacing w:after="0" w:line="240" w:lineRule="auto"/>
              <w:rPr>
                <w:rFonts w:hint="eastAsia" w:ascii="宋体" w:hAnsi="宋体" w:eastAsia="宋体"/>
                <w:sz w:val="24"/>
              </w:rPr>
            </w:pPr>
            <w:r>
              <w:rPr>
                <w:rFonts w:hint="eastAsia" w:ascii="宋体" w:hAnsi="宋体" w:eastAsia="宋体" w:cs="宋体"/>
                <w:kern w:val="0"/>
                <w:sz w:val="24"/>
              </w:rPr>
              <w:t>基础疾病筛查与预警模块</w:t>
            </w:r>
          </w:p>
        </w:tc>
        <w:tc>
          <w:tcPr>
            <w:tcW w:w="6945" w:type="dxa"/>
            <w:noWrap w:val="0"/>
            <w:vAlign w:val="top"/>
          </w:tcPr>
          <w:p w14:paraId="62F80004">
            <w:pPr>
              <w:spacing w:after="0" w:line="240" w:lineRule="auto"/>
              <w:rPr>
                <w:rFonts w:hint="eastAsia" w:ascii="宋体" w:hAnsi="宋体" w:eastAsia="宋体"/>
                <w:sz w:val="24"/>
                <w:lang w:eastAsia="zh-CN"/>
              </w:rPr>
            </w:pPr>
            <w:r>
              <w:rPr>
                <w:rFonts w:hint="eastAsia" w:ascii="宋体" w:hAnsi="宋体" w:eastAsia="宋体" w:cs="宋体"/>
                <w:sz w:val="24"/>
              </w:rPr>
              <w:t>（</w:t>
            </w:r>
            <w:r>
              <w:rPr>
                <w:rFonts w:hint="eastAsia" w:ascii="宋体" w:hAnsi="宋体" w:eastAsia="宋体" w:cs="宋体"/>
                <w:kern w:val="0"/>
                <w:sz w:val="24"/>
              </w:rPr>
              <w:t>1）眼底影像质量智能评估：自动分析上传图像的成像质量，实时给出影像质量的信息，输出眼别</w:t>
            </w:r>
            <w:r>
              <w:rPr>
                <w:rFonts w:hint="default" w:ascii="宋体" w:hAnsi="宋体" w:eastAsia="宋体" w:cs="宋体"/>
                <w:kern w:val="0"/>
                <w:sz w:val="24"/>
                <w:lang w:val="en-US"/>
              </w:rPr>
              <w:t>(</w:t>
            </w:r>
            <w:r>
              <w:rPr>
                <w:rFonts w:hint="eastAsia" w:ascii="宋体" w:hAnsi="宋体" w:eastAsia="宋体" w:cs="宋体"/>
                <w:kern w:val="0"/>
                <w:sz w:val="24"/>
              </w:rPr>
              <w:t>左眼/右眼</w:t>
            </w:r>
            <w:r>
              <w:rPr>
                <w:rFonts w:hint="default" w:ascii="宋体" w:hAnsi="宋体" w:eastAsia="宋体" w:cs="宋体"/>
                <w:kern w:val="0"/>
                <w:sz w:val="24"/>
                <w:lang w:val="en-US"/>
              </w:rPr>
              <w:t>)</w:t>
            </w:r>
            <w:r>
              <w:rPr>
                <w:rFonts w:hint="eastAsia" w:ascii="宋体" w:hAnsi="宋体" w:eastAsia="宋体" w:cs="宋体"/>
                <w:kern w:val="0"/>
                <w:sz w:val="24"/>
                <w:lang w:val="en-US" w:eastAsia="zh-CN"/>
              </w:rPr>
              <w:t>信息</w:t>
            </w:r>
            <w:r>
              <w:rPr>
                <w:rFonts w:hint="eastAsia" w:ascii="宋体" w:hAnsi="宋体" w:eastAsia="宋体" w:cs="宋体"/>
                <w:kern w:val="0"/>
                <w:sz w:val="24"/>
              </w:rPr>
              <w:t>，</w:t>
            </w:r>
            <w:r>
              <w:rPr>
                <w:rFonts w:hint="eastAsia" w:ascii="宋体" w:hAnsi="宋体" w:eastAsia="宋体" w:cs="宋体"/>
                <w:kern w:val="0"/>
                <w:sz w:val="24"/>
                <w:lang w:val="en-US" w:eastAsia="zh-CN"/>
              </w:rPr>
              <w:t>并给出</w:t>
            </w:r>
            <w:r>
              <w:rPr>
                <w:rFonts w:hint="eastAsia" w:ascii="宋体" w:hAnsi="宋体" w:eastAsia="宋体" w:cs="宋体"/>
                <w:kern w:val="0"/>
                <w:sz w:val="24"/>
              </w:rPr>
              <w:t>眼底</w:t>
            </w:r>
            <w:r>
              <w:rPr>
                <w:rFonts w:hint="eastAsia" w:ascii="宋体" w:hAnsi="宋体" w:eastAsia="宋体" w:cs="宋体"/>
                <w:kern w:val="0"/>
                <w:sz w:val="24"/>
                <w:lang w:val="en-US" w:eastAsia="zh-CN"/>
              </w:rPr>
              <w:t>影</w:t>
            </w:r>
            <w:r>
              <w:rPr>
                <w:rFonts w:hint="eastAsia" w:ascii="宋体" w:hAnsi="宋体" w:eastAsia="宋体" w:cs="宋体"/>
                <w:kern w:val="0"/>
                <w:sz w:val="24"/>
              </w:rPr>
              <w:t>像</w:t>
            </w:r>
            <w:r>
              <w:rPr>
                <w:rFonts w:hint="eastAsia" w:ascii="宋体" w:hAnsi="宋体" w:eastAsia="宋体" w:cs="宋体"/>
                <w:kern w:val="0"/>
                <w:sz w:val="24"/>
                <w:lang w:val="en-US" w:eastAsia="zh-CN"/>
              </w:rPr>
              <w:t>质量具体分级信息</w:t>
            </w:r>
            <w:r>
              <w:rPr>
                <w:rFonts w:hint="eastAsia" w:ascii="宋体" w:hAnsi="宋体" w:eastAsia="宋体" w:cs="宋体"/>
                <w:kern w:val="0"/>
                <w:sz w:val="24"/>
              </w:rPr>
              <w:t>，如非眼底</w:t>
            </w:r>
            <w:r>
              <w:rPr>
                <w:rFonts w:hint="eastAsia" w:ascii="宋体" w:hAnsi="宋体" w:eastAsia="宋体" w:cs="宋体"/>
                <w:kern w:val="0"/>
                <w:sz w:val="24"/>
                <w:lang w:val="en-US" w:eastAsia="zh-CN"/>
              </w:rPr>
              <w:t>影像</w:t>
            </w:r>
            <w:r>
              <w:rPr>
                <w:rFonts w:hint="eastAsia" w:ascii="宋体" w:hAnsi="宋体" w:eastAsia="宋体" w:cs="宋体"/>
                <w:kern w:val="0"/>
                <w:sz w:val="24"/>
              </w:rPr>
              <w:t>、</w:t>
            </w:r>
            <w:r>
              <w:rPr>
                <w:rFonts w:hint="eastAsia" w:ascii="宋体" w:hAnsi="宋体" w:eastAsia="宋体" w:cs="宋体"/>
                <w:kern w:val="0"/>
                <w:sz w:val="24"/>
                <w:lang w:val="en-US" w:eastAsia="zh-CN"/>
              </w:rPr>
              <w:t>眼底影像质量差/一般/中/良好</w:t>
            </w:r>
            <w:r>
              <w:rPr>
                <w:rFonts w:hint="eastAsia" w:ascii="宋体" w:hAnsi="宋体" w:eastAsia="宋体" w:cs="宋体"/>
                <w:kern w:val="0"/>
                <w:sz w:val="24"/>
                <w:lang w:eastAsia="zh-CN"/>
              </w:rPr>
              <w:t>。</w:t>
            </w:r>
          </w:p>
        </w:tc>
      </w:tr>
      <w:tr w14:paraId="4AF0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1A1E2175">
            <w:pPr>
              <w:spacing w:after="0" w:line="240" w:lineRule="auto"/>
              <w:jc w:val="center"/>
              <w:rPr>
                <w:rFonts w:hint="eastAsia" w:ascii="宋体" w:hAnsi="宋体" w:eastAsia="宋体"/>
                <w:sz w:val="24"/>
              </w:rPr>
            </w:pPr>
          </w:p>
        </w:tc>
        <w:tc>
          <w:tcPr>
            <w:tcW w:w="1311" w:type="dxa"/>
            <w:vMerge w:val="continue"/>
            <w:noWrap w:val="0"/>
            <w:vAlign w:val="center"/>
          </w:tcPr>
          <w:p w14:paraId="44B7B7FF">
            <w:pPr>
              <w:spacing w:after="0" w:line="240" w:lineRule="auto"/>
              <w:rPr>
                <w:rFonts w:hint="eastAsia" w:ascii="宋体" w:hAnsi="宋体" w:eastAsia="宋体"/>
                <w:sz w:val="24"/>
              </w:rPr>
            </w:pPr>
          </w:p>
        </w:tc>
        <w:tc>
          <w:tcPr>
            <w:tcW w:w="6945" w:type="dxa"/>
            <w:noWrap w:val="0"/>
            <w:vAlign w:val="top"/>
          </w:tcPr>
          <w:p w14:paraId="0BDF43BA">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（2）对常见眼底病给出筛查结果和风险预警。</w:t>
            </w:r>
          </w:p>
        </w:tc>
      </w:tr>
      <w:tr w14:paraId="3089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50BEB532">
            <w:pPr>
              <w:spacing w:after="0" w:line="240" w:lineRule="auto"/>
              <w:jc w:val="center"/>
              <w:rPr>
                <w:rFonts w:hint="eastAsia" w:ascii="宋体" w:hAnsi="宋体" w:eastAsia="宋体"/>
                <w:sz w:val="24"/>
              </w:rPr>
            </w:pPr>
          </w:p>
        </w:tc>
        <w:tc>
          <w:tcPr>
            <w:tcW w:w="1311" w:type="dxa"/>
            <w:vMerge w:val="continue"/>
            <w:noWrap w:val="0"/>
            <w:vAlign w:val="center"/>
          </w:tcPr>
          <w:p w14:paraId="556160F7">
            <w:pPr>
              <w:spacing w:after="0" w:line="240" w:lineRule="auto"/>
              <w:rPr>
                <w:rFonts w:hint="eastAsia" w:ascii="宋体" w:hAnsi="宋体" w:eastAsia="宋体"/>
                <w:sz w:val="24"/>
              </w:rPr>
            </w:pPr>
          </w:p>
        </w:tc>
        <w:tc>
          <w:tcPr>
            <w:tcW w:w="6945" w:type="dxa"/>
            <w:noWrap w:val="0"/>
            <w:vAlign w:val="top"/>
          </w:tcPr>
          <w:p w14:paraId="15D9C8E5">
            <w:pPr>
              <w:snapToGrid w:val="0"/>
              <w:spacing w:after="0" w:line="360" w:lineRule="auto"/>
              <w:rPr>
                <w:rFonts w:hint="eastAsia" w:ascii="宋体" w:hAnsi="宋体" w:eastAsia="宋体" w:cs="宋体"/>
                <w:b/>
                <w:bCs/>
                <w:kern w:val="0"/>
                <w:sz w:val="24"/>
              </w:rPr>
            </w:pPr>
            <w:r>
              <w:rPr>
                <w:rFonts w:hint="eastAsia" w:ascii="宋体" w:hAnsi="宋体" w:eastAsia="宋体" w:cs="宋体"/>
                <w:kern w:val="0"/>
                <w:sz w:val="24"/>
              </w:rPr>
              <w:t>（3）眼底疾病提示包括：糖尿病视网膜病变、黄斑水肿、年龄性黄斑变性、青光眼、高血压视网膜病变、静脉阻塞、病理性近视、激光斑、黄斑前膜、黄斑裂孔等。</w:t>
            </w:r>
          </w:p>
        </w:tc>
      </w:tr>
      <w:tr w14:paraId="5CF0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32C37E73">
            <w:pPr>
              <w:spacing w:after="0" w:line="240" w:lineRule="auto"/>
              <w:jc w:val="center"/>
              <w:rPr>
                <w:rFonts w:hint="eastAsia" w:ascii="宋体" w:hAnsi="宋体" w:eastAsia="宋体"/>
                <w:sz w:val="24"/>
              </w:rPr>
            </w:pPr>
          </w:p>
        </w:tc>
        <w:tc>
          <w:tcPr>
            <w:tcW w:w="1311" w:type="dxa"/>
            <w:vMerge w:val="continue"/>
            <w:noWrap w:val="0"/>
            <w:vAlign w:val="center"/>
          </w:tcPr>
          <w:p w14:paraId="746C220A">
            <w:pPr>
              <w:spacing w:after="0" w:line="240" w:lineRule="auto"/>
              <w:rPr>
                <w:rFonts w:hint="eastAsia" w:ascii="宋体" w:hAnsi="宋体" w:eastAsia="宋体"/>
                <w:sz w:val="24"/>
              </w:rPr>
            </w:pPr>
          </w:p>
        </w:tc>
        <w:tc>
          <w:tcPr>
            <w:tcW w:w="6945" w:type="dxa"/>
            <w:noWrap w:val="0"/>
            <w:vAlign w:val="top"/>
          </w:tcPr>
          <w:p w14:paraId="0E75D38A">
            <w:pPr>
              <w:snapToGrid w:val="0"/>
              <w:spacing w:after="0" w:line="360" w:lineRule="auto"/>
              <w:rPr>
                <w:rFonts w:hint="eastAsia" w:ascii="宋体" w:hAnsi="宋体" w:eastAsia="宋体" w:cs="宋体"/>
                <w:b/>
                <w:bCs/>
                <w:kern w:val="0"/>
                <w:sz w:val="24"/>
              </w:rPr>
            </w:pPr>
            <w:r>
              <w:rPr>
                <w:rFonts w:hint="eastAsia" w:ascii="宋体" w:hAnsi="宋体" w:eastAsia="宋体" w:cs="宋体"/>
                <w:kern w:val="0"/>
                <w:sz w:val="24"/>
              </w:rPr>
              <w:t>（4）眼底病灶提示包括：</w:t>
            </w:r>
            <w:r>
              <w:rPr>
                <w:rFonts w:hint="eastAsia" w:ascii="宋体" w:hAnsi="宋体" w:eastAsia="宋体" w:cs="宋体"/>
                <w:kern w:val="0"/>
                <w:sz w:val="24"/>
                <w:lang w:val="en-US" w:eastAsia="zh-CN"/>
              </w:rPr>
              <w:t>微血管瘤</w:t>
            </w:r>
            <w:r>
              <w:rPr>
                <w:rFonts w:hint="eastAsia" w:ascii="宋体" w:hAnsi="宋体" w:eastAsia="宋体" w:cs="宋体"/>
                <w:kern w:val="0"/>
                <w:sz w:val="24"/>
              </w:rPr>
              <w:t>、</w:t>
            </w:r>
            <w:r>
              <w:rPr>
                <w:rFonts w:hint="eastAsia" w:ascii="宋体" w:hAnsi="宋体" w:eastAsia="宋体" w:cs="宋体"/>
                <w:kern w:val="0"/>
                <w:sz w:val="24"/>
                <w:lang w:val="en-US" w:eastAsia="zh-CN"/>
              </w:rPr>
              <w:t>视网膜内微血管异常</w:t>
            </w:r>
            <w:r>
              <w:rPr>
                <w:rFonts w:hint="eastAsia" w:ascii="宋体" w:hAnsi="宋体" w:eastAsia="宋体" w:cs="宋体"/>
                <w:kern w:val="0"/>
                <w:sz w:val="24"/>
              </w:rPr>
              <w:t>、</w:t>
            </w:r>
            <w:r>
              <w:rPr>
                <w:rFonts w:hint="eastAsia" w:ascii="宋体" w:hAnsi="宋体" w:eastAsia="宋体" w:cs="宋体"/>
                <w:kern w:val="0"/>
                <w:sz w:val="24"/>
                <w:lang w:val="en-US" w:eastAsia="zh-CN"/>
              </w:rPr>
              <w:t>硬性渗出</w:t>
            </w:r>
            <w:r>
              <w:rPr>
                <w:rFonts w:hint="eastAsia" w:ascii="宋体" w:hAnsi="宋体" w:eastAsia="宋体" w:cs="宋体"/>
                <w:kern w:val="0"/>
                <w:sz w:val="24"/>
              </w:rPr>
              <w:t>、</w:t>
            </w:r>
            <w:r>
              <w:rPr>
                <w:rFonts w:hint="eastAsia" w:ascii="宋体" w:hAnsi="宋体" w:eastAsia="宋体" w:cs="宋体"/>
                <w:kern w:val="0"/>
                <w:sz w:val="24"/>
                <w:lang w:val="en-US" w:eastAsia="zh-CN"/>
              </w:rPr>
              <w:t>棉絮斑</w:t>
            </w:r>
            <w:r>
              <w:rPr>
                <w:rFonts w:hint="default" w:ascii="宋体" w:hAnsi="宋体" w:eastAsia="宋体" w:cs="宋体"/>
                <w:kern w:val="0"/>
                <w:sz w:val="24"/>
                <w:lang w:val="en-US" w:eastAsia="zh-CN"/>
              </w:rPr>
              <w:t>(</w:t>
            </w:r>
            <w:r>
              <w:rPr>
                <w:rFonts w:hint="eastAsia" w:ascii="宋体" w:hAnsi="宋体" w:eastAsia="宋体" w:cs="宋体"/>
                <w:kern w:val="0"/>
                <w:sz w:val="24"/>
                <w:lang w:val="en-US" w:eastAsia="zh-CN"/>
              </w:rPr>
              <w:t>软性渗出</w:t>
            </w:r>
            <w:r>
              <w:rPr>
                <w:rFonts w:hint="default" w:ascii="宋体" w:hAnsi="宋体" w:eastAsia="宋体" w:cs="宋体"/>
                <w:kern w:val="0"/>
                <w:sz w:val="24"/>
                <w:lang w:val="en-US" w:eastAsia="zh-CN"/>
              </w:rPr>
              <w:t>)</w:t>
            </w:r>
            <w:r>
              <w:rPr>
                <w:rFonts w:hint="eastAsia" w:ascii="宋体" w:hAnsi="宋体" w:eastAsia="宋体" w:cs="宋体"/>
                <w:kern w:val="0"/>
                <w:sz w:val="24"/>
              </w:rPr>
              <w:t>、纤维增殖膜、新生血管、</w:t>
            </w:r>
            <w:r>
              <w:rPr>
                <w:rFonts w:hint="eastAsia" w:ascii="宋体" w:hAnsi="宋体" w:eastAsia="宋体" w:cs="宋体"/>
                <w:kern w:val="0"/>
                <w:sz w:val="24"/>
                <w:lang w:val="en-US" w:eastAsia="zh-CN"/>
              </w:rPr>
              <w:t>点状视网膜出血</w:t>
            </w:r>
            <w:r>
              <w:rPr>
                <w:rFonts w:hint="eastAsia" w:ascii="宋体" w:hAnsi="宋体" w:eastAsia="宋体" w:cs="宋体"/>
                <w:kern w:val="0"/>
                <w:sz w:val="24"/>
              </w:rPr>
              <w:t>、</w:t>
            </w:r>
            <w:r>
              <w:rPr>
                <w:rFonts w:hint="eastAsia" w:ascii="宋体" w:hAnsi="宋体" w:eastAsia="宋体" w:cs="宋体"/>
                <w:kern w:val="0"/>
                <w:sz w:val="24"/>
                <w:lang w:val="en-US" w:eastAsia="zh-CN"/>
              </w:rPr>
              <w:t>片状视网膜出血</w:t>
            </w:r>
            <w:r>
              <w:rPr>
                <w:rFonts w:hint="eastAsia" w:ascii="宋体" w:hAnsi="宋体" w:eastAsia="宋体" w:cs="宋体"/>
                <w:kern w:val="0"/>
                <w:sz w:val="24"/>
              </w:rPr>
              <w:t>、</w:t>
            </w:r>
            <w:r>
              <w:rPr>
                <w:rFonts w:hint="eastAsia" w:ascii="宋体" w:hAnsi="宋体" w:eastAsia="宋体" w:cs="宋体"/>
                <w:kern w:val="0"/>
                <w:sz w:val="24"/>
                <w:lang w:val="en-US" w:eastAsia="zh-CN"/>
              </w:rPr>
              <w:t>火焰状视网膜出血</w:t>
            </w:r>
            <w:r>
              <w:rPr>
                <w:rFonts w:hint="eastAsia" w:ascii="宋体" w:hAnsi="宋体" w:eastAsia="宋体" w:cs="宋体"/>
                <w:kern w:val="0"/>
                <w:sz w:val="24"/>
              </w:rPr>
              <w:t>、</w:t>
            </w:r>
            <w:r>
              <w:rPr>
                <w:rFonts w:hint="eastAsia" w:ascii="宋体" w:hAnsi="宋体" w:eastAsia="宋体" w:cs="宋体"/>
                <w:kern w:val="0"/>
                <w:sz w:val="24"/>
                <w:lang w:val="en-US" w:eastAsia="zh-CN"/>
              </w:rPr>
              <w:t>玻璃膜疣</w:t>
            </w:r>
            <w:r>
              <w:rPr>
                <w:rFonts w:hint="eastAsia" w:ascii="宋体" w:hAnsi="宋体" w:eastAsia="宋体" w:cs="宋体"/>
                <w:kern w:val="0"/>
                <w:sz w:val="24"/>
              </w:rPr>
              <w:t>、激光斑、</w:t>
            </w:r>
            <w:r>
              <w:rPr>
                <w:rFonts w:hint="eastAsia" w:ascii="宋体" w:hAnsi="宋体" w:eastAsia="宋体" w:cs="宋体"/>
                <w:kern w:val="0"/>
                <w:sz w:val="24"/>
                <w:lang w:val="en-US" w:eastAsia="zh-CN"/>
              </w:rPr>
              <w:t>动静脉交叉压迹、动静脉比异常、血管铜丝征、血管银丝征、视网膜前出血及玻璃体积血</w:t>
            </w:r>
            <w:r>
              <w:rPr>
                <w:rFonts w:hint="eastAsia" w:ascii="宋体" w:hAnsi="宋体" w:eastAsia="宋体" w:cs="宋体"/>
                <w:kern w:val="0"/>
                <w:sz w:val="24"/>
              </w:rPr>
              <w:t>、</w:t>
            </w:r>
            <w:r>
              <w:rPr>
                <w:rFonts w:hint="eastAsia" w:ascii="宋体" w:hAnsi="宋体" w:eastAsia="宋体" w:cs="宋体"/>
                <w:kern w:val="0"/>
                <w:sz w:val="24"/>
                <w:lang w:val="en-US" w:eastAsia="zh-CN"/>
              </w:rPr>
              <w:t>近视弧形斑、豹纹状眼底</w:t>
            </w:r>
            <w:r>
              <w:rPr>
                <w:rFonts w:hint="eastAsia" w:ascii="宋体" w:hAnsi="宋体" w:eastAsia="宋体" w:cs="宋体"/>
                <w:kern w:val="0"/>
                <w:sz w:val="24"/>
              </w:rPr>
              <w:t>其他异常。</w:t>
            </w:r>
          </w:p>
        </w:tc>
      </w:tr>
      <w:tr w14:paraId="0A14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7137F1C7">
            <w:pPr>
              <w:spacing w:after="0" w:line="240" w:lineRule="auto"/>
              <w:jc w:val="center"/>
              <w:rPr>
                <w:rFonts w:hint="eastAsia" w:ascii="宋体" w:hAnsi="宋体" w:eastAsia="宋体"/>
                <w:sz w:val="24"/>
              </w:rPr>
            </w:pPr>
          </w:p>
        </w:tc>
        <w:tc>
          <w:tcPr>
            <w:tcW w:w="1311" w:type="dxa"/>
            <w:vMerge w:val="continue"/>
            <w:noWrap w:val="0"/>
            <w:vAlign w:val="center"/>
          </w:tcPr>
          <w:p w14:paraId="3E9345D3">
            <w:pPr>
              <w:spacing w:after="0" w:line="240" w:lineRule="auto"/>
              <w:rPr>
                <w:rFonts w:hint="eastAsia" w:ascii="宋体" w:hAnsi="宋体" w:eastAsia="宋体"/>
                <w:sz w:val="24"/>
              </w:rPr>
            </w:pPr>
          </w:p>
        </w:tc>
        <w:tc>
          <w:tcPr>
            <w:tcW w:w="6945" w:type="dxa"/>
            <w:noWrap w:val="0"/>
            <w:vAlign w:val="top"/>
          </w:tcPr>
          <w:p w14:paraId="2BB41CF8">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5</w:t>
            </w:r>
            <w:r>
              <w:rPr>
                <w:rFonts w:hint="eastAsia" w:ascii="宋体" w:hAnsi="宋体" w:eastAsia="宋体" w:cs="宋体"/>
                <w:kern w:val="0"/>
                <w:sz w:val="24"/>
              </w:rPr>
              <w:t>）</w:t>
            </w:r>
            <w:r>
              <w:rPr>
                <w:rFonts w:hint="eastAsia" w:ascii="宋体" w:hAnsi="宋体" w:eastAsia="宋体" w:cs="宋体"/>
                <w:kern w:val="0"/>
                <w:sz w:val="24"/>
                <w:lang w:val="en-US" w:eastAsia="zh-CN"/>
              </w:rPr>
              <w:t>眼底综合风险预警提示包括：眼底血管评分、黄斑评分、视网膜评分、视神经评分</w:t>
            </w:r>
            <w:r>
              <w:rPr>
                <w:rFonts w:hint="eastAsia" w:ascii="宋体" w:hAnsi="宋体" w:eastAsia="宋体" w:cs="宋体"/>
                <w:kern w:val="0"/>
                <w:sz w:val="24"/>
              </w:rPr>
              <w:t>。</w:t>
            </w:r>
          </w:p>
        </w:tc>
      </w:tr>
      <w:tr w14:paraId="646C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730D66E4">
            <w:pPr>
              <w:spacing w:after="0" w:line="240" w:lineRule="auto"/>
              <w:jc w:val="center"/>
              <w:rPr>
                <w:rFonts w:hint="eastAsia" w:ascii="宋体" w:hAnsi="宋体" w:eastAsia="宋体"/>
                <w:sz w:val="24"/>
              </w:rPr>
            </w:pPr>
          </w:p>
        </w:tc>
        <w:tc>
          <w:tcPr>
            <w:tcW w:w="1311" w:type="dxa"/>
            <w:vMerge w:val="continue"/>
            <w:noWrap w:val="0"/>
            <w:vAlign w:val="center"/>
          </w:tcPr>
          <w:p w14:paraId="74189EED">
            <w:pPr>
              <w:spacing w:after="0" w:line="240" w:lineRule="auto"/>
              <w:rPr>
                <w:rFonts w:hint="eastAsia" w:ascii="宋体" w:hAnsi="宋体" w:eastAsia="宋体"/>
                <w:sz w:val="24"/>
              </w:rPr>
            </w:pPr>
          </w:p>
        </w:tc>
        <w:tc>
          <w:tcPr>
            <w:tcW w:w="6945" w:type="dxa"/>
            <w:noWrap w:val="0"/>
            <w:vAlign w:val="top"/>
          </w:tcPr>
          <w:p w14:paraId="2D6686A8">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6</w:t>
            </w:r>
            <w:r>
              <w:rPr>
                <w:rFonts w:hint="eastAsia" w:ascii="宋体" w:hAnsi="宋体" w:eastAsia="宋体" w:cs="宋体"/>
                <w:kern w:val="0"/>
                <w:sz w:val="24"/>
              </w:rPr>
              <w:t>）</w:t>
            </w:r>
            <w:r>
              <w:rPr>
                <w:rFonts w:hint="eastAsia" w:ascii="宋体" w:hAnsi="宋体" w:eastAsia="宋体" w:cs="宋体"/>
                <w:kern w:val="0"/>
                <w:sz w:val="24"/>
                <w:lang w:val="en-US" w:eastAsia="zh-CN"/>
              </w:rPr>
              <w:t>慢性病风险预警提示包括：糖尿病及其并发症风险、高血压及其并发症风险、动脉硬化及其并发症风险、失明&amp;视力受损风险、白内障风险、慢性病综合风险</w:t>
            </w:r>
            <w:r>
              <w:rPr>
                <w:rFonts w:hint="eastAsia" w:ascii="宋体" w:hAnsi="宋体" w:eastAsia="宋体" w:cs="宋体"/>
                <w:kern w:val="0"/>
                <w:sz w:val="24"/>
              </w:rPr>
              <w:t>。</w:t>
            </w:r>
          </w:p>
        </w:tc>
      </w:tr>
      <w:tr w14:paraId="4954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66B4F3FF">
            <w:pPr>
              <w:spacing w:after="0" w:line="240" w:lineRule="auto"/>
              <w:jc w:val="center"/>
              <w:rPr>
                <w:rFonts w:hint="eastAsia" w:ascii="宋体" w:hAnsi="宋体" w:eastAsia="宋体"/>
                <w:sz w:val="24"/>
              </w:rPr>
            </w:pPr>
          </w:p>
        </w:tc>
        <w:tc>
          <w:tcPr>
            <w:tcW w:w="1311" w:type="dxa"/>
            <w:vMerge w:val="continue"/>
            <w:noWrap w:val="0"/>
            <w:vAlign w:val="center"/>
          </w:tcPr>
          <w:p w14:paraId="2A4B288A">
            <w:pPr>
              <w:spacing w:after="0" w:line="240" w:lineRule="auto"/>
              <w:rPr>
                <w:rFonts w:hint="eastAsia" w:ascii="宋体" w:hAnsi="宋体" w:eastAsia="宋体"/>
                <w:sz w:val="24"/>
              </w:rPr>
            </w:pPr>
          </w:p>
        </w:tc>
        <w:tc>
          <w:tcPr>
            <w:tcW w:w="6945" w:type="dxa"/>
            <w:noWrap w:val="0"/>
            <w:vAlign w:val="top"/>
          </w:tcPr>
          <w:p w14:paraId="682261FA">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7</w:t>
            </w:r>
            <w:r>
              <w:rPr>
                <w:rFonts w:hint="eastAsia" w:ascii="宋体" w:hAnsi="宋体" w:eastAsia="宋体" w:cs="宋体"/>
                <w:kern w:val="0"/>
                <w:sz w:val="24"/>
              </w:rPr>
              <w:t>）60秒内分析输出检查结果，并生成AI眼底量化分析报告。</w:t>
            </w:r>
          </w:p>
        </w:tc>
      </w:tr>
      <w:tr w14:paraId="4B9D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65202714">
            <w:pPr>
              <w:spacing w:after="0" w:line="240" w:lineRule="auto"/>
              <w:jc w:val="center"/>
              <w:rPr>
                <w:rFonts w:hint="eastAsia" w:ascii="宋体" w:hAnsi="宋体" w:eastAsia="宋体"/>
                <w:sz w:val="24"/>
              </w:rPr>
            </w:pPr>
          </w:p>
        </w:tc>
        <w:tc>
          <w:tcPr>
            <w:tcW w:w="1311" w:type="dxa"/>
            <w:vMerge w:val="continue"/>
            <w:noWrap w:val="0"/>
            <w:vAlign w:val="center"/>
          </w:tcPr>
          <w:p w14:paraId="163B21F8">
            <w:pPr>
              <w:spacing w:after="0" w:line="240" w:lineRule="auto"/>
              <w:rPr>
                <w:rFonts w:hint="eastAsia" w:ascii="宋体" w:hAnsi="宋体" w:eastAsia="宋体"/>
                <w:sz w:val="24"/>
              </w:rPr>
            </w:pPr>
          </w:p>
        </w:tc>
        <w:tc>
          <w:tcPr>
            <w:tcW w:w="6945" w:type="dxa"/>
            <w:noWrap w:val="0"/>
            <w:vAlign w:val="top"/>
          </w:tcPr>
          <w:p w14:paraId="259ADDBD">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8</w:t>
            </w:r>
            <w:r>
              <w:rPr>
                <w:rFonts w:hint="eastAsia" w:ascii="宋体" w:hAnsi="宋体" w:eastAsia="宋体" w:cs="宋体"/>
                <w:kern w:val="0"/>
                <w:sz w:val="24"/>
              </w:rPr>
              <w:t>）可</w:t>
            </w:r>
            <w:r>
              <w:rPr>
                <w:rFonts w:hint="eastAsia" w:ascii="宋体" w:hAnsi="宋体" w:eastAsia="宋体" w:cs="宋体"/>
                <w:kern w:val="0"/>
                <w:sz w:val="24"/>
                <w:lang w:val="en-US" w:eastAsia="zh-CN"/>
              </w:rPr>
              <w:t>通过</w:t>
            </w:r>
            <w:r>
              <w:rPr>
                <w:rFonts w:hint="eastAsia" w:ascii="宋体" w:hAnsi="宋体" w:eastAsia="宋体" w:cs="宋体"/>
                <w:kern w:val="0"/>
                <w:sz w:val="24"/>
              </w:rPr>
              <w:t>手机查看</w:t>
            </w:r>
            <w:r>
              <w:rPr>
                <w:rFonts w:hint="eastAsia" w:ascii="宋体" w:hAnsi="宋体" w:eastAsia="宋体" w:cs="宋体"/>
                <w:kern w:val="0"/>
                <w:sz w:val="24"/>
                <w:lang w:val="en-US" w:eastAsia="zh-CN"/>
              </w:rPr>
              <w:t>自动推送的</w:t>
            </w:r>
            <w:r>
              <w:rPr>
                <w:rFonts w:hint="eastAsia" w:ascii="宋体" w:hAnsi="宋体" w:eastAsia="宋体" w:cs="宋体"/>
                <w:kern w:val="0"/>
                <w:sz w:val="24"/>
              </w:rPr>
              <w:t>电子报告。</w:t>
            </w:r>
          </w:p>
        </w:tc>
      </w:tr>
      <w:tr w14:paraId="2004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4B9D28B3">
            <w:pPr>
              <w:spacing w:after="0" w:line="240" w:lineRule="auto"/>
              <w:jc w:val="center"/>
              <w:rPr>
                <w:rFonts w:hint="eastAsia" w:ascii="宋体" w:hAnsi="宋体" w:eastAsia="宋体"/>
                <w:sz w:val="24"/>
              </w:rPr>
            </w:pPr>
          </w:p>
        </w:tc>
        <w:tc>
          <w:tcPr>
            <w:tcW w:w="1311" w:type="dxa"/>
            <w:vMerge w:val="continue"/>
            <w:noWrap w:val="0"/>
            <w:vAlign w:val="center"/>
          </w:tcPr>
          <w:p w14:paraId="4DBCBCAA">
            <w:pPr>
              <w:spacing w:after="0" w:line="240" w:lineRule="auto"/>
              <w:rPr>
                <w:rFonts w:hint="eastAsia" w:ascii="宋体" w:hAnsi="宋体" w:eastAsia="宋体"/>
                <w:sz w:val="24"/>
              </w:rPr>
            </w:pPr>
          </w:p>
        </w:tc>
        <w:tc>
          <w:tcPr>
            <w:tcW w:w="6945" w:type="dxa"/>
            <w:noWrap w:val="0"/>
            <w:vAlign w:val="top"/>
          </w:tcPr>
          <w:p w14:paraId="2B71FA2C">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9</w:t>
            </w:r>
            <w:r>
              <w:rPr>
                <w:rFonts w:hint="eastAsia" w:ascii="宋体" w:hAnsi="宋体" w:eastAsia="宋体" w:cs="宋体"/>
                <w:kern w:val="0"/>
                <w:sz w:val="24"/>
              </w:rPr>
              <w:t>）可根据临床需求自定义报告名称，选择报告显示模块和病种描述格式。</w:t>
            </w:r>
          </w:p>
        </w:tc>
      </w:tr>
      <w:tr w14:paraId="47A4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38435213">
            <w:pPr>
              <w:spacing w:after="0" w:line="240" w:lineRule="auto"/>
              <w:jc w:val="center"/>
              <w:rPr>
                <w:rFonts w:hint="eastAsia" w:ascii="宋体" w:hAnsi="宋体" w:eastAsia="宋体"/>
                <w:sz w:val="24"/>
              </w:rPr>
            </w:pPr>
          </w:p>
        </w:tc>
        <w:tc>
          <w:tcPr>
            <w:tcW w:w="1311" w:type="dxa"/>
            <w:vMerge w:val="continue"/>
            <w:noWrap w:val="0"/>
            <w:vAlign w:val="center"/>
          </w:tcPr>
          <w:p w14:paraId="10396B7C">
            <w:pPr>
              <w:spacing w:after="0" w:line="240" w:lineRule="auto"/>
              <w:rPr>
                <w:rFonts w:hint="eastAsia" w:ascii="宋体" w:hAnsi="宋体" w:eastAsia="宋体"/>
                <w:sz w:val="24"/>
              </w:rPr>
            </w:pPr>
          </w:p>
        </w:tc>
        <w:tc>
          <w:tcPr>
            <w:tcW w:w="6945" w:type="dxa"/>
            <w:noWrap w:val="0"/>
            <w:vAlign w:val="top"/>
          </w:tcPr>
          <w:p w14:paraId="33F9C653">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10</w:t>
            </w:r>
            <w:r>
              <w:rPr>
                <w:rFonts w:hint="eastAsia" w:ascii="宋体" w:hAnsi="宋体" w:eastAsia="宋体" w:cs="宋体"/>
                <w:kern w:val="0"/>
                <w:sz w:val="24"/>
              </w:rPr>
              <w:t>）分析报告原图可自动</w:t>
            </w:r>
            <w:r>
              <w:rPr>
                <w:rFonts w:hint="eastAsia" w:ascii="宋体" w:hAnsi="宋体" w:eastAsia="宋体" w:cs="宋体"/>
                <w:kern w:val="0"/>
                <w:sz w:val="24"/>
                <w:lang w:val="en-US" w:eastAsia="zh-CN"/>
              </w:rPr>
              <w:t>进行</w:t>
            </w:r>
            <w:r>
              <w:rPr>
                <w:rFonts w:hint="eastAsia" w:ascii="宋体" w:hAnsi="宋体" w:eastAsia="宋体" w:cs="宋体"/>
                <w:kern w:val="0"/>
                <w:sz w:val="24"/>
              </w:rPr>
              <w:t>清晰化增强</w:t>
            </w:r>
            <w:r>
              <w:rPr>
                <w:rFonts w:hint="eastAsia" w:ascii="宋体" w:hAnsi="宋体" w:eastAsia="宋体" w:cs="宋体"/>
                <w:kern w:val="0"/>
                <w:sz w:val="24"/>
                <w:lang w:val="en-US" w:eastAsia="zh-CN"/>
              </w:rPr>
              <w:t>及色彩优化</w:t>
            </w:r>
            <w:r>
              <w:rPr>
                <w:rFonts w:hint="eastAsia" w:ascii="宋体" w:hAnsi="宋体" w:eastAsia="宋体" w:cs="宋体"/>
                <w:kern w:val="0"/>
                <w:sz w:val="24"/>
              </w:rPr>
              <w:t>，提高纸质报告打印清晰度</w:t>
            </w:r>
            <w:r>
              <w:rPr>
                <w:rFonts w:hint="eastAsia" w:ascii="宋体" w:hAnsi="宋体" w:eastAsia="宋体" w:cs="宋体"/>
                <w:kern w:val="0"/>
                <w:sz w:val="24"/>
                <w:lang w:val="en-US" w:eastAsia="zh-CN"/>
              </w:rPr>
              <w:t>及影像色彩一致性</w:t>
            </w:r>
            <w:r>
              <w:rPr>
                <w:rFonts w:hint="eastAsia" w:ascii="宋体" w:hAnsi="宋体" w:eastAsia="宋体" w:cs="宋体"/>
                <w:kern w:val="0"/>
                <w:sz w:val="24"/>
              </w:rPr>
              <w:t>。</w:t>
            </w:r>
          </w:p>
        </w:tc>
      </w:tr>
      <w:tr w14:paraId="5010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68A98F9E">
            <w:pPr>
              <w:spacing w:after="0" w:line="240" w:lineRule="auto"/>
              <w:jc w:val="center"/>
              <w:rPr>
                <w:rFonts w:hint="eastAsia" w:ascii="宋体" w:hAnsi="宋体" w:eastAsia="宋体"/>
                <w:sz w:val="24"/>
              </w:rPr>
            </w:pPr>
            <w:r>
              <w:rPr>
                <w:rFonts w:hint="eastAsia" w:ascii="宋体" w:hAnsi="宋体" w:eastAsia="宋体"/>
                <w:sz w:val="24"/>
              </w:rPr>
              <w:t>2</w:t>
            </w:r>
          </w:p>
        </w:tc>
        <w:tc>
          <w:tcPr>
            <w:tcW w:w="1311" w:type="dxa"/>
            <w:vMerge w:val="restart"/>
            <w:noWrap w:val="0"/>
            <w:vAlign w:val="center"/>
          </w:tcPr>
          <w:p w14:paraId="495BE918">
            <w:pPr>
              <w:spacing w:after="0" w:line="240" w:lineRule="auto"/>
              <w:rPr>
                <w:rFonts w:hint="eastAsia" w:ascii="宋体" w:hAnsi="宋体" w:eastAsia="宋体"/>
                <w:sz w:val="24"/>
              </w:rPr>
            </w:pPr>
            <w:r>
              <w:rPr>
                <w:rFonts w:hint="eastAsia" w:ascii="宋体" w:hAnsi="宋体" w:eastAsia="宋体" w:cs="宋体"/>
                <w:kern w:val="0"/>
                <w:sz w:val="24"/>
              </w:rPr>
              <w:t>临床辅助诊断平台模块</w:t>
            </w:r>
          </w:p>
        </w:tc>
        <w:tc>
          <w:tcPr>
            <w:tcW w:w="6945" w:type="dxa"/>
            <w:noWrap w:val="0"/>
            <w:vAlign w:val="top"/>
          </w:tcPr>
          <w:p w14:paraId="28474C4B">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（1）自动输出智能</w:t>
            </w:r>
            <w:r>
              <w:rPr>
                <w:rFonts w:hint="eastAsia" w:ascii="宋体" w:hAnsi="宋体" w:eastAsia="宋体" w:cs="宋体"/>
                <w:kern w:val="0"/>
                <w:sz w:val="24"/>
                <w:lang w:val="en-US" w:eastAsia="zh-CN"/>
              </w:rPr>
              <w:t>分析</w:t>
            </w:r>
            <w:r>
              <w:rPr>
                <w:rFonts w:hint="eastAsia" w:ascii="宋体" w:hAnsi="宋体" w:eastAsia="宋体" w:cs="宋体"/>
                <w:kern w:val="0"/>
                <w:sz w:val="24"/>
              </w:rPr>
              <w:t>结果，自动填入相应的病变描述、分级建议、等内容词条，减少医生</w:t>
            </w:r>
            <w:r>
              <w:rPr>
                <w:rFonts w:hint="eastAsia" w:ascii="宋体" w:hAnsi="宋体" w:eastAsia="宋体" w:cs="宋体"/>
                <w:kern w:val="0"/>
                <w:sz w:val="24"/>
                <w:lang w:val="en-US" w:eastAsia="zh-CN"/>
              </w:rPr>
              <w:t>审阅时</w:t>
            </w:r>
            <w:r>
              <w:rPr>
                <w:rFonts w:hint="eastAsia" w:ascii="宋体" w:hAnsi="宋体" w:eastAsia="宋体" w:cs="宋体"/>
                <w:kern w:val="0"/>
                <w:sz w:val="24"/>
              </w:rPr>
              <w:t>手动录入</w:t>
            </w:r>
            <w:r>
              <w:rPr>
                <w:rFonts w:hint="eastAsia" w:ascii="宋体" w:hAnsi="宋体" w:eastAsia="宋体" w:cs="宋体"/>
                <w:kern w:val="0"/>
                <w:sz w:val="24"/>
                <w:lang w:val="en-US" w:eastAsia="zh-CN"/>
              </w:rPr>
              <w:t>工作量</w:t>
            </w:r>
            <w:r>
              <w:rPr>
                <w:rFonts w:hint="eastAsia" w:ascii="宋体" w:hAnsi="宋体" w:eastAsia="宋体" w:cs="宋体"/>
                <w:kern w:val="0"/>
                <w:sz w:val="24"/>
              </w:rPr>
              <w:t>，提高工作效率。</w:t>
            </w:r>
          </w:p>
        </w:tc>
      </w:tr>
      <w:tr w14:paraId="3541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481A4F76">
            <w:pPr>
              <w:spacing w:after="0" w:line="240" w:lineRule="auto"/>
              <w:jc w:val="center"/>
              <w:rPr>
                <w:rFonts w:hint="eastAsia" w:ascii="宋体" w:hAnsi="宋体" w:eastAsia="宋体"/>
                <w:sz w:val="24"/>
              </w:rPr>
            </w:pPr>
          </w:p>
        </w:tc>
        <w:tc>
          <w:tcPr>
            <w:tcW w:w="1311" w:type="dxa"/>
            <w:vMerge w:val="continue"/>
            <w:noWrap w:val="0"/>
            <w:vAlign w:val="center"/>
          </w:tcPr>
          <w:p w14:paraId="789D1B1A">
            <w:pPr>
              <w:spacing w:after="0" w:line="240" w:lineRule="auto"/>
              <w:rPr>
                <w:rFonts w:hint="eastAsia" w:ascii="宋体" w:hAnsi="宋体" w:eastAsia="宋体" w:cs="宋体"/>
                <w:kern w:val="0"/>
                <w:sz w:val="24"/>
              </w:rPr>
            </w:pPr>
          </w:p>
        </w:tc>
        <w:tc>
          <w:tcPr>
            <w:tcW w:w="6945" w:type="dxa"/>
            <w:noWrap w:val="0"/>
            <w:vAlign w:val="top"/>
          </w:tcPr>
          <w:p w14:paraId="14390CB2">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（2）智能识别和提取眼底影像中黄斑区域，并标注出距中心凹不同距离区域圆环。</w:t>
            </w:r>
          </w:p>
        </w:tc>
      </w:tr>
      <w:tr w14:paraId="6D82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086D90E4">
            <w:pPr>
              <w:spacing w:after="0" w:line="240" w:lineRule="auto"/>
              <w:jc w:val="center"/>
              <w:rPr>
                <w:rFonts w:hint="eastAsia" w:ascii="宋体" w:hAnsi="宋体" w:eastAsia="宋体"/>
                <w:sz w:val="24"/>
              </w:rPr>
            </w:pPr>
          </w:p>
        </w:tc>
        <w:tc>
          <w:tcPr>
            <w:tcW w:w="1311" w:type="dxa"/>
            <w:vMerge w:val="continue"/>
            <w:noWrap w:val="0"/>
            <w:vAlign w:val="center"/>
          </w:tcPr>
          <w:p w14:paraId="17EBD9FB">
            <w:pPr>
              <w:spacing w:after="0" w:line="240" w:lineRule="auto"/>
              <w:rPr>
                <w:rFonts w:hint="eastAsia" w:ascii="宋体" w:hAnsi="宋体" w:eastAsia="宋体" w:cs="宋体"/>
                <w:kern w:val="0"/>
                <w:sz w:val="24"/>
              </w:rPr>
            </w:pPr>
          </w:p>
        </w:tc>
        <w:tc>
          <w:tcPr>
            <w:tcW w:w="6945" w:type="dxa"/>
            <w:noWrap w:val="0"/>
            <w:vAlign w:val="top"/>
          </w:tcPr>
          <w:p w14:paraId="2DE1FB3C">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（3）智能识别视</w:t>
            </w:r>
            <w:r>
              <w:rPr>
                <w:rFonts w:hint="eastAsia" w:ascii="宋体" w:hAnsi="宋体" w:eastAsia="宋体" w:cs="宋体"/>
                <w:kern w:val="0"/>
                <w:sz w:val="24"/>
                <w:lang w:val="en-US" w:eastAsia="zh-CN"/>
              </w:rPr>
              <w:t>杯视</w:t>
            </w:r>
            <w:r>
              <w:rPr>
                <w:rFonts w:hint="eastAsia" w:ascii="宋体" w:hAnsi="宋体" w:eastAsia="宋体" w:cs="宋体"/>
                <w:kern w:val="0"/>
                <w:sz w:val="24"/>
              </w:rPr>
              <w:t>盘区域，智能标注视盘视杯边界</w:t>
            </w:r>
            <w:r>
              <w:rPr>
                <w:rFonts w:hint="eastAsia" w:ascii="宋体" w:hAnsi="宋体" w:eastAsia="宋体" w:cs="宋体"/>
                <w:kern w:val="0"/>
                <w:sz w:val="24"/>
                <w:lang w:val="en-US" w:eastAsia="zh-CN"/>
              </w:rPr>
              <w:t>及</w:t>
            </w:r>
            <w:r>
              <w:rPr>
                <w:rFonts w:hint="eastAsia" w:ascii="宋体" w:hAnsi="宋体" w:eastAsia="宋体" w:cs="宋体"/>
                <w:kern w:val="0"/>
                <w:sz w:val="24"/>
              </w:rPr>
              <w:t>视盘中心位置</w:t>
            </w:r>
            <w:r>
              <w:rPr>
                <w:rFonts w:hint="eastAsia" w:ascii="宋体" w:hAnsi="宋体" w:eastAsia="宋体" w:cs="宋体"/>
                <w:kern w:val="0"/>
                <w:sz w:val="24"/>
                <w:lang w:eastAsia="zh-CN"/>
              </w:rPr>
              <w:t>，</w:t>
            </w:r>
            <w:r>
              <w:rPr>
                <w:rFonts w:hint="eastAsia" w:ascii="宋体" w:hAnsi="宋体" w:eastAsia="宋体" w:cs="宋体"/>
                <w:kern w:val="0"/>
                <w:sz w:val="24"/>
              </w:rPr>
              <w:t>输出</w:t>
            </w:r>
            <w:r>
              <w:rPr>
                <w:rFonts w:hint="eastAsia" w:ascii="宋体" w:hAnsi="宋体" w:eastAsia="宋体" w:cs="宋体"/>
                <w:kern w:val="0"/>
                <w:sz w:val="24"/>
                <w:lang w:val="en-US" w:eastAsia="zh-CN"/>
              </w:rPr>
              <w:t>视杯视盘</w:t>
            </w:r>
            <w:r>
              <w:rPr>
                <w:rFonts w:hint="eastAsia" w:ascii="宋体" w:hAnsi="宋体" w:eastAsia="宋体" w:cs="宋体"/>
                <w:kern w:val="0"/>
                <w:sz w:val="24"/>
              </w:rPr>
              <w:t>比值。</w:t>
            </w:r>
          </w:p>
        </w:tc>
      </w:tr>
      <w:tr w14:paraId="1534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3E3174AF">
            <w:pPr>
              <w:spacing w:after="0" w:line="240" w:lineRule="auto"/>
              <w:jc w:val="center"/>
              <w:rPr>
                <w:rFonts w:hint="eastAsia" w:ascii="宋体" w:hAnsi="宋体" w:eastAsia="宋体"/>
                <w:sz w:val="24"/>
              </w:rPr>
            </w:pPr>
          </w:p>
        </w:tc>
        <w:tc>
          <w:tcPr>
            <w:tcW w:w="1311" w:type="dxa"/>
            <w:vMerge w:val="continue"/>
            <w:noWrap w:val="0"/>
            <w:vAlign w:val="center"/>
          </w:tcPr>
          <w:p w14:paraId="3F651854">
            <w:pPr>
              <w:spacing w:after="0" w:line="240" w:lineRule="auto"/>
              <w:rPr>
                <w:rFonts w:hint="eastAsia" w:ascii="宋体" w:hAnsi="宋体" w:eastAsia="宋体" w:cs="宋体"/>
                <w:kern w:val="0"/>
                <w:sz w:val="24"/>
              </w:rPr>
            </w:pPr>
          </w:p>
        </w:tc>
        <w:tc>
          <w:tcPr>
            <w:tcW w:w="6945" w:type="dxa"/>
            <w:noWrap w:val="0"/>
            <w:vAlign w:val="top"/>
          </w:tcPr>
          <w:p w14:paraId="0D7C25C7">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4</w:t>
            </w:r>
            <w:r>
              <w:rPr>
                <w:rFonts w:hint="eastAsia" w:ascii="宋体" w:hAnsi="宋体" w:eastAsia="宋体" w:cs="宋体"/>
                <w:kern w:val="0"/>
                <w:sz w:val="24"/>
              </w:rPr>
              <w:t>）智能识别和提取眼底影像中血管</w:t>
            </w:r>
            <w:r>
              <w:rPr>
                <w:rFonts w:hint="default" w:ascii="宋体" w:hAnsi="宋体" w:eastAsia="宋体" w:cs="宋体"/>
                <w:kern w:val="0"/>
                <w:sz w:val="24"/>
                <w:lang w:val="en-US"/>
              </w:rPr>
              <w:t>(</w:t>
            </w:r>
            <w:r>
              <w:rPr>
                <w:rFonts w:hint="eastAsia" w:ascii="宋体" w:hAnsi="宋体" w:eastAsia="宋体" w:cs="宋体"/>
                <w:kern w:val="0"/>
                <w:sz w:val="24"/>
              </w:rPr>
              <w:t>动脉、静脉</w:t>
            </w:r>
            <w:r>
              <w:rPr>
                <w:rFonts w:hint="default" w:ascii="宋体" w:hAnsi="宋体" w:eastAsia="宋体" w:cs="宋体"/>
                <w:kern w:val="0"/>
                <w:sz w:val="24"/>
                <w:lang w:val="en-US"/>
              </w:rPr>
              <w:t>)</w:t>
            </w:r>
            <w:r>
              <w:rPr>
                <w:rFonts w:hint="eastAsia" w:ascii="宋体" w:hAnsi="宋体" w:eastAsia="宋体" w:cs="宋体"/>
                <w:kern w:val="0"/>
                <w:sz w:val="24"/>
              </w:rPr>
              <w:t>，并使用2种不同颜色标注显示，输出动静脉管径比值、动脉平均管径、静脉平均管径、</w:t>
            </w:r>
            <w:r>
              <w:rPr>
                <w:rFonts w:hint="eastAsia" w:ascii="宋体" w:hAnsi="宋体" w:eastAsia="宋体" w:cs="宋体"/>
                <w:kern w:val="0"/>
                <w:sz w:val="24"/>
                <w:lang w:val="en-US" w:eastAsia="zh-CN"/>
              </w:rPr>
              <w:t>动静脉四分位管径数值</w:t>
            </w:r>
            <w:r>
              <w:rPr>
                <w:rFonts w:hint="eastAsia" w:ascii="宋体" w:hAnsi="宋体" w:eastAsia="宋体" w:cs="宋体"/>
                <w:kern w:val="0"/>
                <w:sz w:val="24"/>
              </w:rPr>
              <w:t>。</w:t>
            </w:r>
          </w:p>
        </w:tc>
      </w:tr>
      <w:tr w14:paraId="403C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384A2AC3">
            <w:pPr>
              <w:spacing w:after="0" w:line="240" w:lineRule="auto"/>
              <w:jc w:val="center"/>
              <w:rPr>
                <w:rFonts w:hint="eastAsia" w:ascii="宋体" w:hAnsi="宋体" w:eastAsia="宋体"/>
                <w:sz w:val="24"/>
              </w:rPr>
            </w:pPr>
          </w:p>
        </w:tc>
        <w:tc>
          <w:tcPr>
            <w:tcW w:w="1311" w:type="dxa"/>
            <w:vMerge w:val="continue"/>
            <w:noWrap w:val="0"/>
            <w:vAlign w:val="center"/>
          </w:tcPr>
          <w:p w14:paraId="32DB909E">
            <w:pPr>
              <w:spacing w:after="0" w:line="240" w:lineRule="auto"/>
              <w:rPr>
                <w:rFonts w:hint="eastAsia" w:ascii="宋体" w:hAnsi="宋体" w:eastAsia="宋体" w:cs="宋体"/>
                <w:kern w:val="0"/>
                <w:sz w:val="24"/>
              </w:rPr>
            </w:pPr>
          </w:p>
        </w:tc>
        <w:tc>
          <w:tcPr>
            <w:tcW w:w="6945" w:type="dxa"/>
            <w:noWrap w:val="0"/>
            <w:vAlign w:val="top"/>
          </w:tcPr>
          <w:p w14:paraId="711FC40F">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5</w:t>
            </w:r>
            <w:r>
              <w:rPr>
                <w:rFonts w:hint="eastAsia" w:ascii="宋体" w:hAnsi="宋体" w:eastAsia="宋体" w:cs="宋体"/>
                <w:kern w:val="0"/>
                <w:sz w:val="24"/>
              </w:rPr>
              <w:t>）智能提取眼底影像中出现的多种病灶，包括</w:t>
            </w:r>
            <w:r>
              <w:rPr>
                <w:rFonts w:hint="eastAsia" w:ascii="宋体" w:hAnsi="宋体" w:eastAsia="宋体" w:cs="宋体"/>
                <w:kern w:val="0"/>
                <w:sz w:val="24"/>
                <w:lang w:val="en-US" w:eastAsia="zh-CN"/>
              </w:rPr>
              <w:t>微血管瘤</w:t>
            </w:r>
            <w:r>
              <w:rPr>
                <w:rFonts w:hint="eastAsia" w:ascii="宋体" w:hAnsi="宋体" w:eastAsia="宋体" w:cs="宋体"/>
                <w:kern w:val="0"/>
                <w:sz w:val="24"/>
              </w:rPr>
              <w:t>、</w:t>
            </w:r>
            <w:r>
              <w:rPr>
                <w:rFonts w:hint="eastAsia" w:ascii="宋体" w:hAnsi="宋体" w:eastAsia="宋体" w:cs="宋体"/>
                <w:kern w:val="0"/>
                <w:sz w:val="24"/>
                <w:lang w:val="en-US" w:eastAsia="zh-CN"/>
              </w:rPr>
              <w:t>视网膜内微血管异常</w:t>
            </w:r>
            <w:r>
              <w:rPr>
                <w:rFonts w:hint="eastAsia" w:ascii="宋体" w:hAnsi="宋体" w:eastAsia="宋体" w:cs="宋体"/>
                <w:kern w:val="0"/>
                <w:sz w:val="24"/>
              </w:rPr>
              <w:t>、</w:t>
            </w:r>
            <w:r>
              <w:rPr>
                <w:rFonts w:hint="eastAsia" w:ascii="宋体" w:hAnsi="宋体" w:eastAsia="宋体" w:cs="宋体"/>
                <w:kern w:val="0"/>
                <w:sz w:val="24"/>
                <w:lang w:val="en-US" w:eastAsia="zh-CN"/>
              </w:rPr>
              <w:t>硬性渗出</w:t>
            </w:r>
            <w:r>
              <w:rPr>
                <w:rFonts w:hint="eastAsia" w:ascii="宋体" w:hAnsi="宋体" w:eastAsia="宋体" w:cs="宋体"/>
                <w:kern w:val="0"/>
                <w:sz w:val="24"/>
              </w:rPr>
              <w:t>、</w:t>
            </w:r>
            <w:r>
              <w:rPr>
                <w:rFonts w:hint="eastAsia" w:ascii="宋体" w:hAnsi="宋体" w:eastAsia="宋体" w:cs="宋体"/>
                <w:kern w:val="0"/>
                <w:sz w:val="24"/>
                <w:lang w:val="en-US" w:eastAsia="zh-CN"/>
              </w:rPr>
              <w:t>棉絮斑</w:t>
            </w:r>
            <w:r>
              <w:rPr>
                <w:rFonts w:hint="default" w:ascii="宋体" w:hAnsi="宋体" w:eastAsia="宋体" w:cs="宋体"/>
                <w:kern w:val="0"/>
                <w:sz w:val="24"/>
                <w:lang w:val="en-US" w:eastAsia="zh-CN"/>
              </w:rPr>
              <w:t>(</w:t>
            </w:r>
            <w:r>
              <w:rPr>
                <w:rFonts w:hint="eastAsia" w:ascii="宋体" w:hAnsi="宋体" w:eastAsia="宋体" w:cs="宋体"/>
                <w:kern w:val="0"/>
                <w:sz w:val="24"/>
                <w:lang w:val="en-US" w:eastAsia="zh-CN"/>
              </w:rPr>
              <w:t>软性渗出</w:t>
            </w:r>
            <w:r>
              <w:rPr>
                <w:rFonts w:hint="default" w:ascii="宋体" w:hAnsi="宋体" w:eastAsia="宋体" w:cs="宋体"/>
                <w:kern w:val="0"/>
                <w:sz w:val="24"/>
                <w:lang w:val="en-US" w:eastAsia="zh-CN"/>
              </w:rPr>
              <w:t>)</w:t>
            </w:r>
            <w:r>
              <w:rPr>
                <w:rFonts w:hint="eastAsia" w:ascii="宋体" w:hAnsi="宋体" w:eastAsia="宋体" w:cs="宋体"/>
                <w:kern w:val="0"/>
                <w:sz w:val="24"/>
              </w:rPr>
              <w:t>、纤维增殖膜、新生血管、</w:t>
            </w:r>
            <w:r>
              <w:rPr>
                <w:rFonts w:hint="eastAsia" w:ascii="宋体" w:hAnsi="宋体" w:eastAsia="宋体" w:cs="宋体"/>
                <w:kern w:val="0"/>
                <w:sz w:val="24"/>
                <w:lang w:val="en-US" w:eastAsia="zh-CN"/>
              </w:rPr>
              <w:t>点状视网膜出血</w:t>
            </w:r>
            <w:r>
              <w:rPr>
                <w:rFonts w:hint="eastAsia" w:ascii="宋体" w:hAnsi="宋体" w:eastAsia="宋体" w:cs="宋体"/>
                <w:kern w:val="0"/>
                <w:sz w:val="24"/>
              </w:rPr>
              <w:t>、</w:t>
            </w:r>
            <w:r>
              <w:rPr>
                <w:rFonts w:hint="eastAsia" w:ascii="宋体" w:hAnsi="宋体" w:eastAsia="宋体" w:cs="宋体"/>
                <w:kern w:val="0"/>
                <w:sz w:val="24"/>
                <w:lang w:val="en-US" w:eastAsia="zh-CN"/>
              </w:rPr>
              <w:t>片状视网膜出血</w:t>
            </w:r>
            <w:r>
              <w:rPr>
                <w:rFonts w:hint="eastAsia" w:ascii="宋体" w:hAnsi="宋体" w:eastAsia="宋体" w:cs="宋体"/>
                <w:kern w:val="0"/>
                <w:sz w:val="24"/>
              </w:rPr>
              <w:t>、</w:t>
            </w:r>
            <w:r>
              <w:rPr>
                <w:rFonts w:hint="eastAsia" w:ascii="宋体" w:hAnsi="宋体" w:eastAsia="宋体" w:cs="宋体"/>
                <w:kern w:val="0"/>
                <w:sz w:val="24"/>
                <w:lang w:val="en-US" w:eastAsia="zh-CN"/>
              </w:rPr>
              <w:t>火焰状视网膜出血</w:t>
            </w:r>
            <w:r>
              <w:rPr>
                <w:rFonts w:hint="eastAsia" w:ascii="宋体" w:hAnsi="宋体" w:eastAsia="宋体" w:cs="宋体"/>
                <w:kern w:val="0"/>
                <w:sz w:val="24"/>
              </w:rPr>
              <w:t>、</w:t>
            </w:r>
            <w:r>
              <w:rPr>
                <w:rFonts w:hint="eastAsia" w:ascii="宋体" w:hAnsi="宋体" w:eastAsia="宋体" w:cs="宋体"/>
                <w:kern w:val="0"/>
                <w:sz w:val="24"/>
                <w:lang w:val="en-US" w:eastAsia="zh-CN"/>
              </w:rPr>
              <w:t>玻璃膜疣</w:t>
            </w:r>
            <w:r>
              <w:rPr>
                <w:rFonts w:hint="eastAsia" w:ascii="宋体" w:hAnsi="宋体" w:eastAsia="宋体" w:cs="宋体"/>
                <w:kern w:val="0"/>
                <w:sz w:val="24"/>
              </w:rPr>
              <w:t>、激光斑、</w:t>
            </w:r>
            <w:r>
              <w:rPr>
                <w:rFonts w:hint="eastAsia" w:ascii="宋体" w:hAnsi="宋体" w:eastAsia="宋体" w:cs="宋体"/>
                <w:kern w:val="0"/>
                <w:sz w:val="24"/>
                <w:lang w:val="en-US" w:eastAsia="zh-CN"/>
              </w:rPr>
              <w:t>动静脉交叉压迹、动静脉比异常、血管铜丝征、血管银丝征、视网膜前出血及玻璃体积血</w:t>
            </w:r>
            <w:r>
              <w:rPr>
                <w:rFonts w:hint="eastAsia" w:ascii="宋体" w:hAnsi="宋体" w:eastAsia="宋体" w:cs="宋体"/>
                <w:kern w:val="0"/>
                <w:sz w:val="24"/>
              </w:rPr>
              <w:t>、</w:t>
            </w:r>
            <w:r>
              <w:rPr>
                <w:rFonts w:hint="eastAsia" w:ascii="宋体" w:hAnsi="宋体" w:eastAsia="宋体" w:cs="宋体"/>
                <w:kern w:val="0"/>
                <w:sz w:val="24"/>
                <w:lang w:val="en-US" w:eastAsia="zh-CN"/>
              </w:rPr>
              <w:t>近视弧形斑、豹纹状眼底</w:t>
            </w:r>
            <w:r>
              <w:rPr>
                <w:rFonts w:hint="eastAsia" w:ascii="宋体" w:hAnsi="宋体" w:eastAsia="宋体" w:cs="宋体"/>
                <w:kern w:val="0"/>
                <w:sz w:val="24"/>
              </w:rPr>
              <w:t>等。</w:t>
            </w:r>
          </w:p>
        </w:tc>
      </w:tr>
      <w:tr w14:paraId="104E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0916CA95">
            <w:pPr>
              <w:spacing w:after="0" w:line="240" w:lineRule="auto"/>
              <w:jc w:val="center"/>
              <w:rPr>
                <w:rFonts w:hint="eastAsia" w:ascii="宋体" w:hAnsi="宋体" w:eastAsia="宋体"/>
                <w:sz w:val="24"/>
              </w:rPr>
            </w:pPr>
          </w:p>
        </w:tc>
        <w:tc>
          <w:tcPr>
            <w:tcW w:w="1311" w:type="dxa"/>
            <w:vMerge w:val="continue"/>
            <w:noWrap w:val="0"/>
            <w:vAlign w:val="center"/>
          </w:tcPr>
          <w:p w14:paraId="464E290D">
            <w:pPr>
              <w:spacing w:after="0" w:line="240" w:lineRule="auto"/>
              <w:rPr>
                <w:rFonts w:hint="eastAsia" w:ascii="宋体" w:hAnsi="宋体" w:eastAsia="宋体" w:cs="宋体"/>
                <w:kern w:val="0"/>
                <w:sz w:val="24"/>
              </w:rPr>
            </w:pPr>
          </w:p>
        </w:tc>
        <w:tc>
          <w:tcPr>
            <w:tcW w:w="6945" w:type="dxa"/>
            <w:noWrap w:val="0"/>
            <w:vAlign w:val="top"/>
          </w:tcPr>
          <w:p w14:paraId="1B4D8E39">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6</w:t>
            </w:r>
            <w:r>
              <w:rPr>
                <w:rFonts w:hint="eastAsia" w:ascii="宋体" w:hAnsi="宋体" w:eastAsia="宋体" w:cs="宋体"/>
                <w:kern w:val="0"/>
                <w:sz w:val="24"/>
              </w:rPr>
              <w:t>）统计眼底影像中病灶数量，并支持病灶面积、个数的计算输出。</w:t>
            </w:r>
          </w:p>
        </w:tc>
      </w:tr>
      <w:tr w14:paraId="5648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5B4772AD">
            <w:pPr>
              <w:spacing w:after="0" w:line="240" w:lineRule="auto"/>
              <w:jc w:val="center"/>
              <w:rPr>
                <w:rFonts w:hint="eastAsia" w:ascii="宋体" w:hAnsi="宋体" w:eastAsia="宋体"/>
                <w:sz w:val="24"/>
              </w:rPr>
            </w:pPr>
          </w:p>
        </w:tc>
        <w:tc>
          <w:tcPr>
            <w:tcW w:w="1311" w:type="dxa"/>
            <w:vMerge w:val="continue"/>
            <w:noWrap w:val="0"/>
            <w:vAlign w:val="center"/>
          </w:tcPr>
          <w:p w14:paraId="16308EFB">
            <w:pPr>
              <w:spacing w:after="0" w:line="240" w:lineRule="auto"/>
              <w:rPr>
                <w:rFonts w:hint="eastAsia" w:ascii="宋体" w:hAnsi="宋体" w:eastAsia="宋体" w:cs="宋体"/>
                <w:kern w:val="0"/>
                <w:sz w:val="24"/>
              </w:rPr>
            </w:pPr>
          </w:p>
        </w:tc>
        <w:tc>
          <w:tcPr>
            <w:tcW w:w="6945" w:type="dxa"/>
            <w:noWrap w:val="0"/>
            <w:vAlign w:val="top"/>
          </w:tcPr>
          <w:p w14:paraId="7FF99167">
            <w:pPr>
              <w:snapToGrid w:val="0"/>
              <w:spacing w:after="0" w:line="360" w:lineRule="auto"/>
              <w:rPr>
                <w:rFonts w:hint="eastAsia" w:ascii="宋体" w:hAnsi="宋体" w:eastAsia="宋体" w:cs="宋体"/>
                <w:b/>
                <w:bCs/>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7</w:t>
            </w:r>
            <w:r>
              <w:rPr>
                <w:rFonts w:hint="eastAsia" w:ascii="宋体" w:hAnsi="宋体" w:eastAsia="宋体" w:cs="宋体"/>
                <w:kern w:val="0"/>
                <w:sz w:val="24"/>
              </w:rPr>
              <w:t>）眼底影像</w:t>
            </w:r>
            <w:r>
              <w:rPr>
                <w:rFonts w:hint="eastAsia" w:ascii="宋体" w:hAnsi="宋体" w:eastAsia="宋体" w:cs="宋体"/>
                <w:kern w:val="0"/>
                <w:sz w:val="24"/>
                <w:lang w:val="en-US" w:eastAsia="zh-CN"/>
              </w:rPr>
              <w:t>病灶</w:t>
            </w:r>
            <w:r>
              <w:rPr>
                <w:rFonts w:hint="eastAsia" w:ascii="宋体" w:hAnsi="宋体" w:eastAsia="宋体" w:cs="宋体"/>
                <w:kern w:val="0"/>
                <w:sz w:val="24"/>
              </w:rPr>
              <w:t>分析结果</w:t>
            </w:r>
            <w:r>
              <w:rPr>
                <w:rFonts w:hint="eastAsia" w:ascii="宋体" w:hAnsi="宋体" w:eastAsia="宋体" w:cs="宋体"/>
                <w:kern w:val="0"/>
                <w:sz w:val="24"/>
                <w:lang w:eastAsia="zh-CN"/>
              </w:rPr>
              <w:t>、</w:t>
            </w:r>
            <w:r>
              <w:rPr>
                <w:rFonts w:hint="eastAsia" w:ascii="宋体" w:hAnsi="宋体" w:eastAsia="宋体" w:cs="宋体"/>
                <w:kern w:val="0"/>
                <w:sz w:val="24"/>
              </w:rPr>
              <w:t>量化特征展示和智能标注功能，包括微血管瘤、出血点、硬性渗出、软性渗出等。</w:t>
            </w:r>
          </w:p>
        </w:tc>
      </w:tr>
      <w:tr w14:paraId="2534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29C1F11D">
            <w:pPr>
              <w:spacing w:after="0" w:line="240" w:lineRule="auto"/>
              <w:jc w:val="center"/>
              <w:rPr>
                <w:rFonts w:hint="eastAsia" w:ascii="宋体" w:hAnsi="宋体" w:eastAsia="宋体"/>
                <w:sz w:val="24"/>
              </w:rPr>
            </w:pPr>
          </w:p>
        </w:tc>
        <w:tc>
          <w:tcPr>
            <w:tcW w:w="1311" w:type="dxa"/>
            <w:vMerge w:val="continue"/>
            <w:noWrap w:val="0"/>
            <w:vAlign w:val="center"/>
          </w:tcPr>
          <w:p w14:paraId="320564B4">
            <w:pPr>
              <w:spacing w:after="0" w:line="240" w:lineRule="auto"/>
              <w:rPr>
                <w:rFonts w:hint="eastAsia" w:ascii="宋体" w:hAnsi="宋体" w:eastAsia="宋体" w:cs="宋体"/>
                <w:kern w:val="0"/>
                <w:sz w:val="24"/>
              </w:rPr>
            </w:pPr>
          </w:p>
        </w:tc>
        <w:tc>
          <w:tcPr>
            <w:tcW w:w="6945" w:type="dxa"/>
            <w:noWrap w:val="0"/>
            <w:vAlign w:val="top"/>
          </w:tcPr>
          <w:p w14:paraId="192A1CC3">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8</w:t>
            </w:r>
            <w:r>
              <w:rPr>
                <w:rFonts w:hint="eastAsia" w:ascii="宋体" w:hAnsi="宋体" w:eastAsia="宋体" w:cs="宋体"/>
                <w:kern w:val="0"/>
                <w:sz w:val="24"/>
              </w:rPr>
              <w:t>）通过交互点击可自动在影像上标注不同病灶在眼底影像中的位置、面积及形态，并显示对应单个病灶的面积。</w:t>
            </w:r>
          </w:p>
        </w:tc>
      </w:tr>
      <w:tr w14:paraId="5619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13B2478B">
            <w:pPr>
              <w:spacing w:after="0" w:line="240" w:lineRule="auto"/>
              <w:jc w:val="center"/>
              <w:rPr>
                <w:rFonts w:hint="eastAsia" w:ascii="宋体" w:hAnsi="宋体" w:eastAsia="宋体"/>
                <w:sz w:val="24"/>
              </w:rPr>
            </w:pPr>
          </w:p>
        </w:tc>
        <w:tc>
          <w:tcPr>
            <w:tcW w:w="1311" w:type="dxa"/>
            <w:vMerge w:val="continue"/>
            <w:noWrap w:val="0"/>
            <w:vAlign w:val="center"/>
          </w:tcPr>
          <w:p w14:paraId="3BAB8D95">
            <w:pPr>
              <w:spacing w:after="0" w:line="240" w:lineRule="auto"/>
              <w:rPr>
                <w:rFonts w:hint="eastAsia" w:ascii="宋体" w:hAnsi="宋体" w:eastAsia="宋体" w:cs="宋体"/>
                <w:kern w:val="0"/>
                <w:sz w:val="24"/>
              </w:rPr>
            </w:pPr>
          </w:p>
        </w:tc>
        <w:tc>
          <w:tcPr>
            <w:tcW w:w="6945" w:type="dxa"/>
            <w:noWrap w:val="0"/>
            <w:vAlign w:val="top"/>
          </w:tcPr>
          <w:p w14:paraId="02F414C8">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9</w:t>
            </w:r>
            <w:r>
              <w:rPr>
                <w:rFonts w:hint="eastAsia" w:ascii="宋体" w:hAnsi="宋体" w:eastAsia="宋体" w:cs="宋体"/>
                <w:kern w:val="0"/>
                <w:sz w:val="24"/>
              </w:rPr>
              <w:t>）对于</w:t>
            </w:r>
            <w:r>
              <w:rPr>
                <w:rFonts w:hint="eastAsia" w:ascii="宋体" w:hAnsi="宋体" w:eastAsia="宋体" w:cs="宋体"/>
                <w:kern w:val="0"/>
                <w:sz w:val="24"/>
                <w:lang w:val="en-US" w:eastAsia="zh-CN"/>
              </w:rPr>
              <w:t>有</w:t>
            </w:r>
            <w:r>
              <w:rPr>
                <w:rFonts w:hint="eastAsia" w:ascii="宋体" w:hAnsi="宋体" w:eastAsia="宋体" w:cs="宋体"/>
                <w:kern w:val="0"/>
                <w:sz w:val="24"/>
              </w:rPr>
              <w:t>多次</w:t>
            </w:r>
            <w:r>
              <w:rPr>
                <w:rFonts w:hint="eastAsia" w:ascii="宋体" w:hAnsi="宋体" w:eastAsia="宋体" w:cs="宋体"/>
                <w:kern w:val="0"/>
                <w:sz w:val="24"/>
                <w:lang w:val="en-US" w:eastAsia="zh-CN"/>
              </w:rPr>
              <w:t>历史</w:t>
            </w:r>
            <w:r>
              <w:rPr>
                <w:rFonts w:hint="eastAsia" w:ascii="宋体" w:hAnsi="宋体" w:eastAsia="宋体" w:cs="宋体"/>
                <w:kern w:val="0"/>
                <w:sz w:val="24"/>
              </w:rPr>
              <w:t>检查的患者，</w:t>
            </w:r>
            <w:r>
              <w:rPr>
                <w:rFonts w:hint="eastAsia" w:ascii="宋体" w:hAnsi="宋体" w:eastAsia="宋体" w:cs="宋体"/>
                <w:kern w:val="0"/>
                <w:sz w:val="24"/>
                <w:lang w:val="en-US" w:eastAsia="zh-CN"/>
              </w:rPr>
              <w:t>可自定义</w:t>
            </w:r>
            <w:r>
              <w:rPr>
                <w:rFonts w:hint="eastAsia" w:ascii="宋体" w:hAnsi="宋体" w:eastAsia="宋体" w:cs="宋体"/>
                <w:kern w:val="0"/>
                <w:sz w:val="24"/>
              </w:rPr>
              <w:t>进行多次量化随诊分析</w:t>
            </w:r>
            <w:r>
              <w:rPr>
                <w:rFonts w:hint="eastAsia" w:ascii="宋体" w:hAnsi="宋体" w:eastAsia="宋体" w:cs="宋体"/>
                <w:kern w:val="0"/>
                <w:sz w:val="24"/>
                <w:lang w:val="en-US" w:eastAsia="zh-CN"/>
              </w:rPr>
              <w:t>对比</w:t>
            </w:r>
            <w:r>
              <w:rPr>
                <w:rFonts w:hint="eastAsia" w:ascii="宋体" w:hAnsi="宋体" w:eastAsia="宋体" w:cs="宋体"/>
                <w:kern w:val="0"/>
                <w:sz w:val="24"/>
              </w:rPr>
              <w:t>，图表显示特征指标变化。</w:t>
            </w:r>
          </w:p>
        </w:tc>
      </w:tr>
      <w:tr w14:paraId="56DC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3196312E">
            <w:pPr>
              <w:spacing w:after="0" w:line="240" w:lineRule="auto"/>
              <w:jc w:val="center"/>
              <w:rPr>
                <w:rFonts w:hint="eastAsia" w:ascii="宋体" w:hAnsi="宋体" w:eastAsia="宋体"/>
                <w:sz w:val="24"/>
              </w:rPr>
            </w:pPr>
            <w:r>
              <w:rPr>
                <w:rFonts w:hint="eastAsia" w:ascii="宋体" w:hAnsi="宋体" w:eastAsia="宋体"/>
                <w:sz w:val="24"/>
              </w:rPr>
              <w:t>3</w:t>
            </w:r>
          </w:p>
        </w:tc>
        <w:tc>
          <w:tcPr>
            <w:tcW w:w="1311" w:type="dxa"/>
            <w:vMerge w:val="restart"/>
            <w:noWrap w:val="0"/>
            <w:vAlign w:val="center"/>
          </w:tcPr>
          <w:p w14:paraId="1DF84BDC">
            <w:pPr>
              <w:spacing w:after="0" w:line="240" w:lineRule="auto"/>
              <w:rPr>
                <w:rFonts w:hint="eastAsia" w:ascii="宋体" w:hAnsi="宋体" w:eastAsia="宋体" w:cs="宋体"/>
                <w:kern w:val="0"/>
                <w:sz w:val="24"/>
              </w:rPr>
            </w:pPr>
            <w:r>
              <w:rPr>
                <w:rFonts w:hint="eastAsia" w:ascii="宋体" w:hAnsi="宋体" w:eastAsia="宋体" w:cs="宋体"/>
                <w:kern w:val="0"/>
                <w:sz w:val="24"/>
              </w:rPr>
              <w:t>远程阅片中心模块</w:t>
            </w:r>
          </w:p>
        </w:tc>
        <w:tc>
          <w:tcPr>
            <w:tcW w:w="6945" w:type="dxa"/>
            <w:noWrap w:val="0"/>
            <w:vAlign w:val="top"/>
          </w:tcPr>
          <w:p w14:paraId="3EDD3534">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（1）支持远程阅片，实现机构</w:t>
            </w:r>
            <w:r>
              <w:rPr>
                <w:rFonts w:hint="eastAsia" w:ascii="宋体" w:hAnsi="宋体" w:eastAsia="宋体" w:cs="宋体"/>
                <w:kern w:val="0"/>
                <w:sz w:val="24"/>
                <w:lang w:val="en-US" w:eastAsia="zh-CN"/>
              </w:rPr>
              <w:t>间</w:t>
            </w:r>
            <w:r>
              <w:rPr>
                <w:rFonts w:hint="eastAsia" w:ascii="宋体" w:hAnsi="宋体" w:eastAsia="宋体" w:cs="宋体"/>
                <w:kern w:val="0"/>
                <w:sz w:val="24"/>
              </w:rPr>
              <w:t>数据</w:t>
            </w:r>
            <w:r>
              <w:rPr>
                <w:rFonts w:hint="eastAsia" w:ascii="宋体" w:hAnsi="宋体" w:eastAsia="宋体" w:cs="宋体"/>
                <w:kern w:val="0"/>
                <w:sz w:val="24"/>
                <w:lang w:val="en-US" w:eastAsia="zh-CN"/>
              </w:rPr>
              <w:t>互传及信息</w:t>
            </w:r>
            <w:r>
              <w:rPr>
                <w:rFonts w:hint="eastAsia" w:ascii="宋体" w:hAnsi="宋体" w:eastAsia="宋体" w:cs="宋体"/>
                <w:kern w:val="0"/>
                <w:sz w:val="24"/>
              </w:rPr>
              <w:t>连通。</w:t>
            </w:r>
          </w:p>
        </w:tc>
      </w:tr>
      <w:tr w14:paraId="3E5C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17C66BBE">
            <w:pPr>
              <w:spacing w:after="0" w:line="240" w:lineRule="auto"/>
              <w:jc w:val="center"/>
              <w:rPr>
                <w:rFonts w:hint="eastAsia" w:ascii="宋体" w:hAnsi="宋体" w:eastAsia="宋体"/>
                <w:sz w:val="24"/>
              </w:rPr>
            </w:pPr>
          </w:p>
        </w:tc>
        <w:tc>
          <w:tcPr>
            <w:tcW w:w="1311" w:type="dxa"/>
            <w:vMerge w:val="continue"/>
            <w:noWrap w:val="0"/>
            <w:vAlign w:val="center"/>
          </w:tcPr>
          <w:p w14:paraId="6D95814D">
            <w:pPr>
              <w:spacing w:after="0" w:line="240" w:lineRule="auto"/>
              <w:rPr>
                <w:rFonts w:hint="eastAsia" w:ascii="宋体" w:hAnsi="宋体" w:eastAsia="宋体" w:cs="宋体"/>
                <w:kern w:val="0"/>
                <w:sz w:val="24"/>
              </w:rPr>
            </w:pPr>
          </w:p>
        </w:tc>
        <w:tc>
          <w:tcPr>
            <w:tcW w:w="6945" w:type="dxa"/>
            <w:noWrap w:val="0"/>
            <w:vAlign w:val="top"/>
          </w:tcPr>
          <w:p w14:paraId="4EEC507B">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（2）支持多级阅片</w:t>
            </w:r>
            <w:r>
              <w:rPr>
                <w:rFonts w:hint="eastAsia" w:ascii="宋体" w:hAnsi="宋体" w:eastAsia="宋体" w:cs="宋体"/>
                <w:kern w:val="0"/>
                <w:sz w:val="24"/>
                <w:lang w:val="en-US" w:eastAsia="zh-CN"/>
              </w:rPr>
              <w:t>并可根据业务需要定义特定的审阅、复核流程</w:t>
            </w:r>
            <w:r>
              <w:rPr>
                <w:rFonts w:hint="eastAsia" w:ascii="宋体" w:hAnsi="宋体" w:eastAsia="宋体" w:cs="宋体"/>
                <w:kern w:val="0"/>
                <w:sz w:val="24"/>
              </w:rPr>
              <w:t>，对于疑难病例可多级提交阅片请求。</w:t>
            </w:r>
          </w:p>
        </w:tc>
      </w:tr>
      <w:tr w14:paraId="5679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754A1C93">
            <w:pPr>
              <w:spacing w:after="0" w:line="240" w:lineRule="auto"/>
              <w:jc w:val="center"/>
              <w:rPr>
                <w:rFonts w:hint="eastAsia" w:ascii="宋体" w:hAnsi="宋体" w:eastAsia="宋体"/>
                <w:sz w:val="24"/>
              </w:rPr>
            </w:pPr>
          </w:p>
        </w:tc>
        <w:tc>
          <w:tcPr>
            <w:tcW w:w="1311" w:type="dxa"/>
            <w:vMerge w:val="continue"/>
            <w:noWrap w:val="0"/>
            <w:vAlign w:val="center"/>
          </w:tcPr>
          <w:p w14:paraId="401A79C3">
            <w:pPr>
              <w:spacing w:after="0" w:line="240" w:lineRule="auto"/>
              <w:rPr>
                <w:rFonts w:hint="eastAsia" w:ascii="宋体" w:hAnsi="宋体" w:eastAsia="宋体" w:cs="宋体"/>
                <w:kern w:val="0"/>
                <w:sz w:val="24"/>
              </w:rPr>
            </w:pPr>
          </w:p>
        </w:tc>
        <w:tc>
          <w:tcPr>
            <w:tcW w:w="6945" w:type="dxa"/>
            <w:noWrap w:val="0"/>
            <w:vAlign w:val="top"/>
          </w:tcPr>
          <w:p w14:paraId="485584B0">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3</w:t>
            </w:r>
            <w:r>
              <w:rPr>
                <w:rFonts w:hint="eastAsia" w:ascii="宋体" w:hAnsi="宋体" w:eastAsia="宋体" w:cs="宋体"/>
                <w:kern w:val="0"/>
                <w:sz w:val="24"/>
              </w:rPr>
              <w:t>）阅片机构可查看所有下级机构上传的数据，包括</w:t>
            </w:r>
            <w:r>
              <w:rPr>
                <w:rFonts w:hint="eastAsia" w:ascii="宋体" w:hAnsi="宋体" w:eastAsia="宋体" w:cs="宋体"/>
                <w:kern w:val="0"/>
                <w:sz w:val="24"/>
                <w:lang w:val="en-US" w:eastAsia="zh-CN"/>
              </w:rPr>
              <w:t>患者</w:t>
            </w:r>
            <w:r>
              <w:rPr>
                <w:rFonts w:hint="eastAsia" w:ascii="宋体" w:hAnsi="宋体" w:eastAsia="宋体" w:cs="宋体"/>
                <w:kern w:val="0"/>
                <w:sz w:val="24"/>
              </w:rPr>
              <w:t>基础信息、</w:t>
            </w:r>
            <w:r>
              <w:rPr>
                <w:rFonts w:hint="eastAsia" w:ascii="宋体" w:hAnsi="宋体" w:eastAsia="宋体" w:cs="宋体"/>
                <w:kern w:val="0"/>
                <w:sz w:val="24"/>
                <w:lang w:val="en-US" w:eastAsia="zh-CN"/>
              </w:rPr>
              <w:t>检查信息、</w:t>
            </w:r>
            <w:r>
              <w:rPr>
                <w:rFonts w:hint="eastAsia" w:ascii="宋体" w:hAnsi="宋体" w:eastAsia="宋体" w:cs="宋体"/>
                <w:kern w:val="0"/>
                <w:sz w:val="24"/>
              </w:rPr>
              <w:t>眼底</w:t>
            </w:r>
            <w:r>
              <w:rPr>
                <w:rFonts w:hint="eastAsia" w:ascii="宋体" w:hAnsi="宋体" w:eastAsia="宋体" w:cs="宋体"/>
                <w:kern w:val="0"/>
                <w:sz w:val="24"/>
                <w:lang w:val="en-US" w:eastAsia="zh-CN"/>
              </w:rPr>
              <w:t>影像</w:t>
            </w:r>
            <w:r>
              <w:rPr>
                <w:rFonts w:hint="eastAsia" w:ascii="宋体" w:hAnsi="宋体" w:eastAsia="宋体" w:cs="宋体"/>
                <w:kern w:val="0"/>
                <w:sz w:val="24"/>
              </w:rPr>
              <w:t>、其他检查结果、初诊结果</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复核结果</w:t>
            </w:r>
            <w:r>
              <w:rPr>
                <w:rFonts w:hint="eastAsia" w:ascii="宋体" w:hAnsi="宋体" w:eastAsia="宋体" w:cs="宋体"/>
                <w:kern w:val="0"/>
                <w:sz w:val="24"/>
              </w:rPr>
              <w:t>、AI量化分析指标等。</w:t>
            </w:r>
          </w:p>
        </w:tc>
      </w:tr>
      <w:tr w14:paraId="01F3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72FA9257">
            <w:pPr>
              <w:spacing w:after="0" w:line="240" w:lineRule="auto"/>
              <w:jc w:val="center"/>
              <w:rPr>
                <w:rFonts w:hint="eastAsia" w:ascii="宋体" w:hAnsi="宋体" w:eastAsia="宋体"/>
                <w:sz w:val="24"/>
              </w:rPr>
            </w:pPr>
          </w:p>
        </w:tc>
        <w:tc>
          <w:tcPr>
            <w:tcW w:w="1311" w:type="dxa"/>
            <w:vMerge w:val="continue"/>
            <w:noWrap w:val="0"/>
            <w:vAlign w:val="center"/>
          </w:tcPr>
          <w:p w14:paraId="2F3F77DE">
            <w:pPr>
              <w:spacing w:after="0" w:line="240" w:lineRule="auto"/>
              <w:rPr>
                <w:rFonts w:hint="eastAsia" w:ascii="宋体" w:hAnsi="宋体" w:eastAsia="宋体" w:cs="宋体"/>
                <w:kern w:val="0"/>
                <w:sz w:val="24"/>
              </w:rPr>
            </w:pPr>
          </w:p>
        </w:tc>
        <w:tc>
          <w:tcPr>
            <w:tcW w:w="6945" w:type="dxa"/>
            <w:noWrap w:val="0"/>
            <w:vAlign w:val="top"/>
          </w:tcPr>
          <w:p w14:paraId="4C4ACFAD">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4</w:t>
            </w:r>
            <w:r>
              <w:rPr>
                <w:rFonts w:hint="eastAsia" w:ascii="宋体" w:hAnsi="宋体" w:eastAsia="宋体" w:cs="宋体"/>
                <w:kern w:val="0"/>
                <w:sz w:val="24"/>
              </w:rPr>
              <w:t>）通过</w:t>
            </w:r>
            <w:r>
              <w:rPr>
                <w:rFonts w:hint="eastAsia" w:ascii="宋体" w:hAnsi="宋体" w:eastAsia="宋体" w:cs="宋体"/>
                <w:kern w:val="0"/>
                <w:sz w:val="24"/>
                <w:lang w:val="en-US" w:eastAsia="zh-CN"/>
              </w:rPr>
              <w:t>影像预览工具可对眼底影像进行缩放、翻转、镜像、对称等影像处理操作，帮助医生提升</w:t>
            </w:r>
            <w:r>
              <w:rPr>
                <w:rFonts w:hint="eastAsia" w:ascii="宋体" w:hAnsi="宋体" w:eastAsia="宋体" w:cs="宋体"/>
                <w:kern w:val="0"/>
                <w:sz w:val="24"/>
              </w:rPr>
              <w:t>工作</w:t>
            </w:r>
            <w:r>
              <w:rPr>
                <w:rFonts w:hint="eastAsia" w:ascii="宋体" w:hAnsi="宋体" w:eastAsia="宋体" w:cs="宋体"/>
                <w:kern w:val="0"/>
                <w:sz w:val="24"/>
                <w:lang w:val="en-US" w:eastAsia="zh-CN"/>
              </w:rPr>
              <w:t>质量</w:t>
            </w:r>
            <w:r>
              <w:rPr>
                <w:rFonts w:hint="eastAsia" w:ascii="宋体" w:hAnsi="宋体" w:eastAsia="宋体" w:cs="宋体"/>
                <w:kern w:val="0"/>
                <w:sz w:val="24"/>
              </w:rPr>
              <w:t>。</w:t>
            </w:r>
          </w:p>
        </w:tc>
      </w:tr>
      <w:tr w14:paraId="2014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1511CF75">
            <w:pPr>
              <w:spacing w:after="0" w:line="240" w:lineRule="auto"/>
              <w:jc w:val="center"/>
              <w:rPr>
                <w:rFonts w:hint="eastAsia" w:ascii="宋体" w:hAnsi="宋体" w:eastAsia="宋体"/>
                <w:sz w:val="24"/>
              </w:rPr>
            </w:pPr>
          </w:p>
        </w:tc>
        <w:tc>
          <w:tcPr>
            <w:tcW w:w="1311" w:type="dxa"/>
            <w:vMerge w:val="continue"/>
            <w:noWrap w:val="0"/>
            <w:vAlign w:val="center"/>
          </w:tcPr>
          <w:p w14:paraId="1902ADCF">
            <w:pPr>
              <w:spacing w:after="0" w:line="240" w:lineRule="auto"/>
              <w:rPr>
                <w:rFonts w:hint="eastAsia" w:ascii="宋体" w:hAnsi="宋体" w:eastAsia="宋体" w:cs="宋体"/>
                <w:kern w:val="0"/>
                <w:sz w:val="24"/>
              </w:rPr>
            </w:pPr>
          </w:p>
        </w:tc>
        <w:tc>
          <w:tcPr>
            <w:tcW w:w="6945" w:type="dxa"/>
            <w:noWrap w:val="0"/>
            <w:vAlign w:val="top"/>
          </w:tcPr>
          <w:p w14:paraId="59C1DE84">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5</w:t>
            </w:r>
            <w:r>
              <w:rPr>
                <w:rFonts w:hint="eastAsia" w:ascii="宋体" w:hAnsi="宋体" w:eastAsia="宋体" w:cs="宋体"/>
                <w:kern w:val="0"/>
                <w:sz w:val="24"/>
              </w:rPr>
              <w:t>）智能阅片结果进行二次修订和</w:t>
            </w:r>
            <w:r>
              <w:rPr>
                <w:rFonts w:hint="eastAsia" w:ascii="宋体" w:hAnsi="宋体" w:eastAsia="宋体" w:cs="宋体"/>
                <w:kern w:val="0"/>
                <w:sz w:val="24"/>
                <w:lang w:val="en-US" w:eastAsia="zh-CN"/>
              </w:rPr>
              <w:t>审阅</w:t>
            </w:r>
            <w:r>
              <w:rPr>
                <w:rFonts w:hint="eastAsia" w:ascii="宋体" w:hAnsi="宋体" w:eastAsia="宋体" w:cs="宋体"/>
                <w:kern w:val="0"/>
                <w:sz w:val="24"/>
              </w:rPr>
              <w:t>报告重新生成。</w:t>
            </w:r>
          </w:p>
        </w:tc>
      </w:tr>
      <w:tr w14:paraId="61D1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48B81EEB">
            <w:pPr>
              <w:spacing w:after="0" w:line="240" w:lineRule="auto"/>
              <w:jc w:val="center"/>
              <w:rPr>
                <w:rFonts w:hint="eastAsia" w:ascii="宋体" w:hAnsi="宋体" w:eastAsia="宋体"/>
                <w:sz w:val="24"/>
              </w:rPr>
            </w:pPr>
          </w:p>
        </w:tc>
        <w:tc>
          <w:tcPr>
            <w:tcW w:w="1311" w:type="dxa"/>
            <w:vMerge w:val="continue"/>
            <w:noWrap w:val="0"/>
            <w:vAlign w:val="center"/>
          </w:tcPr>
          <w:p w14:paraId="0ED5A2DE">
            <w:pPr>
              <w:spacing w:after="0" w:line="240" w:lineRule="auto"/>
              <w:rPr>
                <w:rFonts w:hint="eastAsia" w:ascii="宋体" w:hAnsi="宋体" w:eastAsia="宋体" w:cs="宋体"/>
                <w:kern w:val="0"/>
                <w:sz w:val="24"/>
              </w:rPr>
            </w:pPr>
          </w:p>
        </w:tc>
        <w:tc>
          <w:tcPr>
            <w:tcW w:w="6945" w:type="dxa"/>
            <w:noWrap w:val="0"/>
            <w:vAlign w:val="top"/>
          </w:tcPr>
          <w:p w14:paraId="4487C25E">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6</w:t>
            </w:r>
            <w:r>
              <w:rPr>
                <w:rFonts w:hint="eastAsia" w:ascii="宋体" w:hAnsi="宋体" w:eastAsia="宋体" w:cs="宋体"/>
                <w:kern w:val="0"/>
                <w:sz w:val="24"/>
              </w:rPr>
              <w:t>）支持</w:t>
            </w:r>
            <w:r>
              <w:rPr>
                <w:rFonts w:hint="eastAsia" w:ascii="宋体" w:hAnsi="宋体" w:eastAsia="宋体" w:cs="宋体"/>
                <w:kern w:val="0"/>
                <w:sz w:val="24"/>
                <w:lang w:val="en-US" w:eastAsia="zh-CN"/>
              </w:rPr>
              <w:t>发起转诊并转诊至指定接收机构</w:t>
            </w:r>
            <w:r>
              <w:rPr>
                <w:rFonts w:hint="eastAsia" w:ascii="宋体" w:hAnsi="宋体" w:eastAsia="宋体" w:cs="宋体"/>
                <w:kern w:val="0"/>
                <w:sz w:val="24"/>
              </w:rPr>
              <w:t>，对于疑难病例可提交</w:t>
            </w:r>
            <w:r>
              <w:rPr>
                <w:rFonts w:hint="eastAsia" w:ascii="宋体" w:hAnsi="宋体" w:eastAsia="宋体" w:cs="宋体"/>
                <w:kern w:val="0"/>
                <w:sz w:val="24"/>
                <w:lang w:val="en-US" w:eastAsia="zh-CN"/>
              </w:rPr>
              <w:t>转诊</w:t>
            </w:r>
            <w:r>
              <w:rPr>
                <w:rFonts w:hint="eastAsia" w:ascii="宋体" w:hAnsi="宋体" w:eastAsia="宋体" w:cs="宋体"/>
                <w:kern w:val="0"/>
                <w:sz w:val="24"/>
              </w:rPr>
              <w:t>请求。</w:t>
            </w:r>
          </w:p>
        </w:tc>
      </w:tr>
      <w:tr w14:paraId="1C10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5EDE7B23">
            <w:pPr>
              <w:spacing w:after="0" w:line="240" w:lineRule="auto"/>
              <w:jc w:val="center"/>
              <w:rPr>
                <w:rFonts w:hint="eastAsia" w:ascii="宋体" w:hAnsi="宋体" w:eastAsia="宋体"/>
                <w:sz w:val="24"/>
              </w:rPr>
            </w:pPr>
            <w:r>
              <w:rPr>
                <w:rFonts w:hint="eastAsia" w:ascii="宋体" w:hAnsi="宋体" w:eastAsia="宋体"/>
                <w:sz w:val="24"/>
              </w:rPr>
              <w:t>4</w:t>
            </w:r>
          </w:p>
        </w:tc>
        <w:tc>
          <w:tcPr>
            <w:tcW w:w="1311" w:type="dxa"/>
            <w:vMerge w:val="restart"/>
            <w:noWrap w:val="0"/>
            <w:vAlign w:val="center"/>
          </w:tcPr>
          <w:p w14:paraId="6BEC1459">
            <w:pPr>
              <w:spacing w:after="0" w:line="240" w:lineRule="auto"/>
              <w:rPr>
                <w:rFonts w:hint="eastAsia" w:ascii="宋体" w:hAnsi="宋体" w:eastAsia="宋体" w:cs="宋体"/>
                <w:kern w:val="0"/>
                <w:sz w:val="24"/>
              </w:rPr>
            </w:pPr>
            <w:r>
              <w:rPr>
                <w:rFonts w:hint="eastAsia" w:ascii="宋体" w:hAnsi="宋体" w:eastAsia="宋体" w:cs="宋体"/>
                <w:kern w:val="0"/>
                <w:sz w:val="24"/>
              </w:rPr>
              <w:t>大数据平台模块</w:t>
            </w:r>
          </w:p>
        </w:tc>
        <w:tc>
          <w:tcPr>
            <w:tcW w:w="6945" w:type="dxa"/>
            <w:noWrap w:val="0"/>
            <w:vAlign w:val="top"/>
          </w:tcPr>
          <w:p w14:paraId="0078CF82">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（1）通过</w:t>
            </w:r>
            <w:r>
              <w:rPr>
                <w:rFonts w:hint="eastAsia" w:ascii="宋体" w:hAnsi="宋体" w:eastAsia="宋体" w:cs="宋体"/>
                <w:kern w:val="0"/>
                <w:sz w:val="24"/>
                <w:lang w:val="en-US" w:eastAsia="zh-CN"/>
              </w:rPr>
              <w:t>机构专有</w:t>
            </w:r>
            <w:r>
              <w:rPr>
                <w:rFonts w:hint="eastAsia" w:ascii="宋体" w:hAnsi="宋体" w:eastAsia="宋体" w:cs="宋体"/>
                <w:kern w:val="0"/>
                <w:sz w:val="24"/>
              </w:rPr>
              <w:t>账号设置指定阅片机构</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并设计</w:t>
            </w:r>
            <w:r>
              <w:rPr>
                <w:rFonts w:hint="eastAsia" w:ascii="宋体" w:hAnsi="宋体" w:eastAsia="宋体" w:cs="宋体"/>
                <w:kern w:val="0"/>
                <w:sz w:val="24"/>
              </w:rPr>
              <w:t>机构之间的数据</w:t>
            </w:r>
            <w:r>
              <w:rPr>
                <w:rFonts w:hint="eastAsia" w:ascii="宋体" w:hAnsi="宋体" w:eastAsia="宋体" w:cs="宋体"/>
                <w:kern w:val="0"/>
                <w:sz w:val="24"/>
                <w:lang w:val="en-US" w:eastAsia="zh-CN"/>
              </w:rPr>
              <w:t>传输、联通关系及链路</w:t>
            </w:r>
            <w:r>
              <w:rPr>
                <w:rFonts w:hint="eastAsia" w:ascii="宋体" w:hAnsi="宋体" w:eastAsia="宋体" w:cs="宋体"/>
                <w:kern w:val="0"/>
                <w:sz w:val="24"/>
              </w:rPr>
              <w:t>。</w:t>
            </w:r>
          </w:p>
        </w:tc>
      </w:tr>
      <w:tr w14:paraId="6420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02D779FC">
            <w:pPr>
              <w:spacing w:after="0" w:line="240" w:lineRule="auto"/>
              <w:jc w:val="center"/>
              <w:rPr>
                <w:rFonts w:hint="eastAsia" w:ascii="宋体" w:hAnsi="宋体" w:eastAsia="宋体"/>
                <w:sz w:val="24"/>
              </w:rPr>
            </w:pPr>
          </w:p>
        </w:tc>
        <w:tc>
          <w:tcPr>
            <w:tcW w:w="1311" w:type="dxa"/>
            <w:vMerge w:val="continue"/>
            <w:noWrap w:val="0"/>
            <w:vAlign w:val="center"/>
          </w:tcPr>
          <w:p w14:paraId="644C278A">
            <w:pPr>
              <w:spacing w:after="0" w:line="240" w:lineRule="auto"/>
              <w:rPr>
                <w:rFonts w:hint="eastAsia" w:ascii="宋体" w:hAnsi="宋体" w:eastAsia="宋体" w:cs="宋体"/>
                <w:kern w:val="0"/>
                <w:sz w:val="24"/>
              </w:rPr>
            </w:pPr>
          </w:p>
        </w:tc>
        <w:tc>
          <w:tcPr>
            <w:tcW w:w="6945" w:type="dxa"/>
            <w:noWrap w:val="0"/>
            <w:vAlign w:val="top"/>
          </w:tcPr>
          <w:p w14:paraId="0BF5899E">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（2）所有连接机构数据汇总。</w:t>
            </w:r>
          </w:p>
        </w:tc>
      </w:tr>
      <w:tr w14:paraId="1BF6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2B6630DA">
            <w:pPr>
              <w:spacing w:after="0" w:line="240" w:lineRule="auto"/>
              <w:jc w:val="center"/>
              <w:rPr>
                <w:rFonts w:hint="eastAsia" w:ascii="宋体" w:hAnsi="宋体" w:eastAsia="宋体"/>
                <w:sz w:val="24"/>
              </w:rPr>
            </w:pPr>
          </w:p>
        </w:tc>
        <w:tc>
          <w:tcPr>
            <w:tcW w:w="1311" w:type="dxa"/>
            <w:vMerge w:val="continue"/>
            <w:noWrap w:val="0"/>
            <w:vAlign w:val="center"/>
          </w:tcPr>
          <w:p w14:paraId="46D34EC5">
            <w:pPr>
              <w:spacing w:after="0" w:line="240" w:lineRule="auto"/>
              <w:rPr>
                <w:rFonts w:hint="eastAsia" w:ascii="宋体" w:hAnsi="宋体" w:eastAsia="宋体" w:cs="宋体"/>
                <w:kern w:val="0"/>
                <w:sz w:val="24"/>
              </w:rPr>
            </w:pPr>
          </w:p>
        </w:tc>
        <w:tc>
          <w:tcPr>
            <w:tcW w:w="6945" w:type="dxa"/>
            <w:noWrap w:val="0"/>
            <w:vAlign w:val="top"/>
          </w:tcPr>
          <w:p w14:paraId="78ACE090">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（3）通过标签，ID，机构名称等</w:t>
            </w:r>
            <w:r>
              <w:rPr>
                <w:rFonts w:hint="eastAsia" w:ascii="宋体" w:hAnsi="宋体" w:eastAsia="宋体" w:cs="宋体"/>
                <w:kern w:val="0"/>
                <w:sz w:val="24"/>
                <w:lang w:val="en-US" w:eastAsia="zh-CN"/>
              </w:rPr>
              <w:t>关键字</w:t>
            </w:r>
            <w:r>
              <w:rPr>
                <w:rFonts w:hint="eastAsia" w:ascii="宋体" w:hAnsi="宋体" w:eastAsia="宋体" w:cs="宋体"/>
                <w:kern w:val="0"/>
                <w:sz w:val="24"/>
              </w:rPr>
              <w:t>内容进行数据检索。</w:t>
            </w:r>
          </w:p>
        </w:tc>
      </w:tr>
      <w:tr w14:paraId="0FA3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18217FF8">
            <w:pPr>
              <w:spacing w:after="0" w:line="240" w:lineRule="auto"/>
              <w:jc w:val="center"/>
              <w:rPr>
                <w:rFonts w:hint="eastAsia" w:ascii="宋体" w:hAnsi="宋体" w:eastAsia="宋体"/>
                <w:sz w:val="24"/>
              </w:rPr>
            </w:pPr>
          </w:p>
        </w:tc>
        <w:tc>
          <w:tcPr>
            <w:tcW w:w="1311" w:type="dxa"/>
            <w:vMerge w:val="continue"/>
            <w:noWrap w:val="0"/>
            <w:vAlign w:val="center"/>
          </w:tcPr>
          <w:p w14:paraId="34C63680">
            <w:pPr>
              <w:spacing w:after="0" w:line="240" w:lineRule="auto"/>
              <w:rPr>
                <w:rFonts w:hint="eastAsia" w:ascii="宋体" w:hAnsi="宋体" w:eastAsia="宋体" w:cs="宋体"/>
                <w:kern w:val="0"/>
                <w:sz w:val="24"/>
              </w:rPr>
            </w:pPr>
          </w:p>
        </w:tc>
        <w:tc>
          <w:tcPr>
            <w:tcW w:w="6945" w:type="dxa"/>
            <w:noWrap w:val="0"/>
            <w:vAlign w:val="top"/>
          </w:tcPr>
          <w:p w14:paraId="26FA9821">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（4）批量导出各结构化数据，包括检查数据、影像数据、量化数据等。</w:t>
            </w:r>
          </w:p>
        </w:tc>
      </w:tr>
      <w:tr w14:paraId="51B2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23A9ED66">
            <w:pPr>
              <w:spacing w:after="0" w:line="240" w:lineRule="auto"/>
              <w:jc w:val="center"/>
              <w:rPr>
                <w:rFonts w:hint="eastAsia" w:ascii="宋体" w:hAnsi="宋体" w:eastAsia="宋体"/>
                <w:sz w:val="24"/>
              </w:rPr>
            </w:pPr>
          </w:p>
        </w:tc>
        <w:tc>
          <w:tcPr>
            <w:tcW w:w="1311" w:type="dxa"/>
            <w:vMerge w:val="continue"/>
            <w:noWrap w:val="0"/>
            <w:vAlign w:val="center"/>
          </w:tcPr>
          <w:p w14:paraId="0313CE0E">
            <w:pPr>
              <w:spacing w:after="0" w:line="240" w:lineRule="auto"/>
              <w:rPr>
                <w:rFonts w:hint="eastAsia" w:ascii="宋体" w:hAnsi="宋体" w:eastAsia="宋体" w:cs="宋体"/>
                <w:kern w:val="0"/>
                <w:sz w:val="24"/>
              </w:rPr>
            </w:pPr>
          </w:p>
        </w:tc>
        <w:tc>
          <w:tcPr>
            <w:tcW w:w="6945" w:type="dxa"/>
            <w:noWrap w:val="0"/>
            <w:vAlign w:val="top"/>
          </w:tcPr>
          <w:p w14:paraId="3F013C46">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（5）给出上下级联结机构的使用情况，包括：机构信息、</w:t>
            </w:r>
            <w:r>
              <w:rPr>
                <w:rFonts w:hint="eastAsia" w:ascii="宋体" w:hAnsi="宋体" w:eastAsia="宋体" w:cs="宋体"/>
                <w:kern w:val="0"/>
                <w:sz w:val="24"/>
                <w:lang w:val="en-US" w:eastAsia="zh-CN"/>
              </w:rPr>
              <w:t>检</w:t>
            </w:r>
            <w:r>
              <w:rPr>
                <w:rFonts w:hint="eastAsia" w:ascii="宋体" w:hAnsi="宋体" w:eastAsia="宋体" w:cs="宋体"/>
                <w:kern w:val="0"/>
                <w:sz w:val="24"/>
              </w:rPr>
              <w:t>测量、</w:t>
            </w:r>
            <w:r>
              <w:rPr>
                <w:rFonts w:hint="eastAsia" w:ascii="宋体" w:hAnsi="宋体" w:eastAsia="宋体" w:cs="宋体"/>
                <w:kern w:val="0"/>
                <w:sz w:val="24"/>
                <w:lang w:val="en-US" w:eastAsia="zh-CN"/>
              </w:rPr>
              <w:t>审阅量、复核量</w:t>
            </w:r>
            <w:r>
              <w:rPr>
                <w:rFonts w:hint="eastAsia" w:ascii="宋体" w:hAnsi="宋体" w:eastAsia="宋体" w:cs="宋体"/>
                <w:kern w:val="0"/>
                <w:sz w:val="24"/>
              </w:rPr>
              <w:t>、转诊情况等。</w:t>
            </w:r>
          </w:p>
        </w:tc>
      </w:tr>
      <w:tr w14:paraId="616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2334484E">
            <w:pPr>
              <w:spacing w:after="0" w:line="240" w:lineRule="auto"/>
              <w:jc w:val="center"/>
              <w:rPr>
                <w:rFonts w:hint="eastAsia" w:ascii="宋体" w:hAnsi="宋体" w:eastAsia="宋体"/>
                <w:sz w:val="24"/>
              </w:rPr>
            </w:pPr>
          </w:p>
        </w:tc>
        <w:tc>
          <w:tcPr>
            <w:tcW w:w="1311" w:type="dxa"/>
            <w:vMerge w:val="continue"/>
            <w:noWrap w:val="0"/>
            <w:vAlign w:val="center"/>
          </w:tcPr>
          <w:p w14:paraId="208B6FF7">
            <w:pPr>
              <w:spacing w:after="0" w:line="240" w:lineRule="auto"/>
              <w:rPr>
                <w:rFonts w:hint="eastAsia" w:ascii="宋体" w:hAnsi="宋体" w:eastAsia="宋体" w:cs="宋体"/>
                <w:kern w:val="0"/>
                <w:sz w:val="24"/>
              </w:rPr>
            </w:pPr>
          </w:p>
        </w:tc>
        <w:tc>
          <w:tcPr>
            <w:tcW w:w="6945" w:type="dxa"/>
            <w:noWrap w:val="0"/>
            <w:vAlign w:val="top"/>
          </w:tcPr>
          <w:p w14:paraId="5C6739E8">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（6）对运营数据分析，实时呈现、变化跟踪。</w:t>
            </w:r>
          </w:p>
        </w:tc>
      </w:tr>
      <w:tr w14:paraId="2B4C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7B5AB364">
            <w:pPr>
              <w:spacing w:after="0" w:line="240" w:lineRule="auto"/>
              <w:jc w:val="center"/>
              <w:rPr>
                <w:rFonts w:hint="eastAsia" w:ascii="宋体" w:hAnsi="宋体" w:eastAsia="宋体"/>
                <w:sz w:val="24"/>
              </w:rPr>
            </w:pPr>
          </w:p>
        </w:tc>
        <w:tc>
          <w:tcPr>
            <w:tcW w:w="1311" w:type="dxa"/>
            <w:vMerge w:val="continue"/>
            <w:noWrap w:val="0"/>
            <w:vAlign w:val="center"/>
          </w:tcPr>
          <w:p w14:paraId="2A0251F2">
            <w:pPr>
              <w:spacing w:after="0" w:line="240" w:lineRule="auto"/>
              <w:rPr>
                <w:rFonts w:hint="eastAsia" w:ascii="宋体" w:hAnsi="宋体" w:eastAsia="宋体" w:cs="宋体"/>
                <w:kern w:val="0"/>
                <w:sz w:val="24"/>
              </w:rPr>
            </w:pPr>
          </w:p>
        </w:tc>
        <w:tc>
          <w:tcPr>
            <w:tcW w:w="6945" w:type="dxa"/>
            <w:noWrap w:val="0"/>
            <w:vAlign w:val="top"/>
          </w:tcPr>
          <w:p w14:paraId="20460496">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（7）对</w:t>
            </w:r>
            <w:r>
              <w:rPr>
                <w:rFonts w:hint="eastAsia" w:ascii="宋体" w:hAnsi="宋体" w:eastAsia="宋体" w:cs="宋体"/>
                <w:kern w:val="0"/>
                <w:sz w:val="24"/>
                <w:lang w:val="en-US" w:eastAsia="zh-CN"/>
              </w:rPr>
              <w:t>临床</w:t>
            </w:r>
            <w:r>
              <w:rPr>
                <w:rFonts w:hint="eastAsia" w:ascii="宋体" w:hAnsi="宋体" w:eastAsia="宋体" w:cs="宋体"/>
                <w:kern w:val="0"/>
                <w:sz w:val="24"/>
              </w:rPr>
              <w:t>数据分析，</w:t>
            </w:r>
            <w:r>
              <w:rPr>
                <w:rFonts w:hint="eastAsia" w:ascii="宋体" w:hAnsi="宋体" w:eastAsia="宋体" w:cs="宋体"/>
                <w:kern w:val="0"/>
                <w:sz w:val="24"/>
                <w:lang w:val="en-US" w:eastAsia="zh-CN"/>
              </w:rPr>
              <w:t>统计病种、病灶阳性率</w:t>
            </w:r>
            <w:r>
              <w:rPr>
                <w:rFonts w:hint="eastAsia" w:ascii="宋体" w:hAnsi="宋体" w:eastAsia="宋体" w:cs="宋体"/>
                <w:kern w:val="0"/>
                <w:sz w:val="24"/>
              </w:rPr>
              <w:t>、</w:t>
            </w:r>
            <w:r>
              <w:rPr>
                <w:rFonts w:hint="eastAsia" w:ascii="宋体" w:hAnsi="宋体" w:eastAsia="宋体" w:cs="宋体"/>
                <w:kern w:val="0"/>
                <w:sz w:val="24"/>
                <w:lang w:val="en-US" w:eastAsia="zh-CN"/>
              </w:rPr>
              <w:t>跟踪病程变化</w:t>
            </w:r>
            <w:r>
              <w:rPr>
                <w:rFonts w:hint="eastAsia" w:ascii="宋体" w:hAnsi="宋体" w:eastAsia="宋体" w:cs="宋体"/>
                <w:kern w:val="0"/>
                <w:sz w:val="24"/>
              </w:rPr>
              <w:t>。</w:t>
            </w:r>
          </w:p>
        </w:tc>
      </w:tr>
      <w:tr w14:paraId="1903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5BD7F3EC">
            <w:pPr>
              <w:spacing w:after="0" w:line="240" w:lineRule="auto"/>
              <w:jc w:val="center"/>
              <w:rPr>
                <w:rFonts w:hint="eastAsia" w:ascii="宋体" w:hAnsi="宋体" w:eastAsia="宋体"/>
                <w:sz w:val="24"/>
              </w:rPr>
            </w:pPr>
          </w:p>
        </w:tc>
        <w:tc>
          <w:tcPr>
            <w:tcW w:w="1311" w:type="dxa"/>
            <w:vMerge w:val="continue"/>
            <w:noWrap w:val="0"/>
            <w:vAlign w:val="center"/>
          </w:tcPr>
          <w:p w14:paraId="741018DD">
            <w:pPr>
              <w:spacing w:after="0" w:line="240" w:lineRule="auto"/>
              <w:rPr>
                <w:rFonts w:hint="eastAsia" w:ascii="宋体" w:hAnsi="宋体" w:eastAsia="宋体" w:cs="宋体"/>
                <w:kern w:val="0"/>
                <w:sz w:val="24"/>
              </w:rPr>
            </w:pPr>
          </w:p>
        </w:tc>
        <w:tc>
          <w:tcPr>
            <w:tcW w:w="6945" w:type="dxa"/>
            <w:noWrap w:val="0"/>
            <w:vAlign w:val="top"/>
          </w:tcPr>
          <w:p w14:paraId="0CA69E84">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（7）对</w:t>
            </w:r>
            <w:r>
              <w:rPr>
                <w:rFonts w:hint="eastAsia" w:ascii="宋体" w:hAnsi="宋体" w:eastAsia="宋体" w:cs="宋体"/>
                <w:kern w:val="0"/>
                <w:sz w:val="24"/>
                <w:lang w:val="en-US" w:eastAsia="zh-CN"/>
              </w:rPr>
              <w:t>科研</w:t>
            </w:r>
            <w:r>
              <w:rPr>
                <w:rFonts w:hint="eastAsia" w:ascii="宋体" w:hAnsi="宋体" w:eastAsia="宋体" w:cs="宋体"/>
                <w:kern w:val="0"/>
                <w:sz w:val="24"/>
              </w:rPr>
              <w:t>数据分析，</w:t>
            </w:r>
            <w:r>
              <w:rPr>
                <w:rFonts w:hint="eastAsia" w:ascii="宋体" w:hAnsi="宋体" w:eastAsia="宋体" w:cs="宋体"/>
                <w:kern w:val="0"/>
                <w:sz w:val="24"/>
                <w:lang w:val="en-US" w:eastAsia="zh-CN"/>
              </w:rPr>
              <w:t>统计人群发病率</w:t>
            </w:r>
            <w:r>
              <w:rPr>
                <w:rFonts w:hint="eastAsia" w:ascii="宋体" w:hAnsi="宋体" w:eastAsia="宋体" w:cs="宋体"/>
                <w:kern w:val="0"/>
                <w:sz w:val="24"/>
              </w:rPr>
              <w:t>、</w:t>
            </w:r>
            <w:r>
              <w:rPr>
                <w:rFonts w:hint="eastAsia" w:ascii="宋体" w:hAnsi="宋体" w:eastAsia="宋体" w:cs="宋体"/>
                <w:kern w:val="0"/>
                <w:sz w:val="24"/>
                <w:lang w:val="en-US" w:eastAsia="zh-CN"/>
              </w:rPr>
              <w:t>进行相关性分析</w:t>
            </w:r>
            <w:r>
              <w:rPr>
                <w:rFonts w:hint="eastAsia" w:ascii="宋体" w:hAnsi="宋体" w:eastAsia="宋体" w:cs="宋体"/>
                <w:kern w:val="0"/>
                <w:sz w:val="24"/>
              </w:rPr>
              <w:t>。</w:t>
            </w:r>
          </w:p>
        </w:tc>
      </w:tr>
      <w:tr w14:paraId="47F4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4D1DAF88">
            <w:pPr>
              <w:spacing w:after="0" w:line="240" w:lineRule="auto"/>
              <w:jc w:val="center"/>
              <w:rPr>
                <w:rFonts w:hint="eastAsia" w:ascii="宋体" w:hAnsi="宋体" w:eastAsia="宋体"/>
                <w:sz w:val="24"/>
              </w:rPr>
            </w:pPr>
            <w:r>
              <w:rPr>
                <w:rFonts w:hint="eastAsia" w:ascii="宋体" w:hAnsi="宋体" w:eastAsia="宋体"/>
                <w:sz w:val="24"/>
              </w:rPr>
              <w:t>5</w:t>
            </w:r>
          </w:p>
        </w:tc>
        <w:tc>
          <w:tcPr>
            <w:tcW w:w="1311" w:type="dxa"/>
            <w:vMerge w:val="restart"/>
            <w:noWrap w:val="0"/>
            <w:vAlign w:val="center"/>
          </w:tcPr>
          <w:p w14:paraId="38FE7A88">
            <w:pPr>
              <w:spacing w:after="0" w:line="240" w:lineRule="auto"/>
              <w:rPr>
                <w:rFonts w:hint="eastAsia" w:ascii="宋体" w:hAnsi="宋体" w:eastAsia="宋体" w:cs="宋体"/>
                <w:kern w:val="0"/>
                <w:sz w:val="24"/>
              </w:rPr>
            </w:pPr>
            <w:r>
              <w:rPr>
                <w:rFonts w:hint="eastAsia" w:ascii="宋体" w:hAnsi="宋体" w:eastAsia="宋体" w:cs="宋体"/>
                <w:kern w:val="0"/>
                <w:sz w:val="24"/>
              </w:rPr>
              <w:t>数据管理模</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块</w:t>
            </w:r>
          </w:p>
        </w:tc>
        <w:tc>
          <w:tcPr>
            <w:tcW w:w="6945" w:type="dxa"/>
            <w:noWrap w:val="0"/>
            <w:vAlign w:val="top"/>
          </w:tcPr>
          <w:p w14:paraId="402EF8FF">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（1）数据存储</w:t>
            </w:r>
            <w:r>
              <w:rPr>
                <w:rFonts w:hint="eastAsia" w:ascii="宋体" w:hAnsi="宋体" w:eastAsia="宋体" w:cs="宋体"/>
                <w:kern w:val="0"/>
                <w:sz w:val="24"/>
                <w:lang w:val="en-US" w:eastAsia="zh-CN"/>
              </w:rPr>
              <w:t>支持本地或</w:t>
            </w:r>
            <w:r>
              <w:rPr>
                <w:rFonts w:hint="eastAsia" w:ascii="宋体" w:hAnsi="宋体" w:eastAsia="宋体" w:cs="宋体"/>
                <w:kern w:val="0"/>
                <w:sz w:val="24"/>
              </w:rPr>
              <w:t>云端，可随时</w:t>
            </w:r>
            <w:r>
              <w:rPr>
                <w:rFonts w:hint="eastAsia" w:ascii="宋体" w:hAnsi="宋体" w:eastAsia="宋体" w:cs="宋体"/>
                <w:kern w:val="0"/>
                <w:sz w:val="24"/>
                <w:lang w:val="en-US" w:eastAsia="zh-CN"/>
              </w:rPr>
              <w:t>通过浏览器登录</w:t>
            </w:r>
            <w:r>
              <w:rPr>
                <w:rFonts w:hint="eastAsia" w:ascii="宋体" w:hAnsi="宋体" w:eastAsia="宋体" w:cs="宋体"/>
                <w:kern w:val="0"/>
                <w:sz w:val="24"/>
              </w:rPr>
              <w:t>查看。</w:t>
            </w:r>
          </w:p>
        </w:tc>
      </w:tr>
      <w:tr w14:paraId="7A68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top"/>
          </w:tcPr>
          <w:p w14:paraId="5968302A">
            <w:pPr>
              <w:spacing w:after="0" w:line="240" w:lineRule="auto"/>
              <w:rPr>
                <w:rFonts w:hint="eastAsia" w:ascii="宋体" w:hAnsi="宋体" w:eastAsia="宋体"/>
                <w:sz w:val="24"/>
              </w:rPr>
            </w:pPr>
          </w:p>
        </w:tc>
        <w:tc>
          <w:tcPr>
            <w:tcW w:w="1311" w:type="dxa"/>
            <w:vMerge w:val="continue"/>
            <w:noWrap w:val="0"/>
            <w:vAlign w:val="top"/>
          </w:tcPr>
          <w:p w14:paraId="7A01D2B0">
            <w:pPr>
              <w:spacing w:after="0" w:line="240" w:lineRule="auto"/>
              <w:rPr>
                <w:rFonts w:hint="eastAsia" w:ascii="宋体" w:hAnsi="宋体" w:eastAsia="宋体" w:cs="宋体"/>
                <w:kern w:val="0"/>
                <w:sz w:val="24"/>
              </w:rPr>
            </w:pPr>
          </w:p>
        </w:tc>
        <w:tc>
          <w:tcPr>
            <w:tcW w:w="6945" w:type="dxa"/>
            <w:noWrap w:val="0"/>
            <w:vAlign w:val="top"/>
          </w:tcPr>
          <w:p w14:paraId="1066D672">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2</w:t>
            </w:r>
            <w:r>
              <w:rPr>
                <w:rFonts w:hint="eastAsia" w:ascii="宋体" w:hAnsi="宋体" w:eastAsia="宋体" w:cs="宋体"/>
                <w:kern w:val="0"/>
                <w:sz w:val="24"/>
              </w:rPr>
              <w:t>）存储空间满足所有机构上传数据总量</w:t>
            </w:r>
            <w:r>
              <w:rPr>
                <w:rFonts w:hint="default" w:ascii="宋体" w:hAnsi="宋体" w:eastAsia="宋体" w:cs="宋体"/>
                <w:kern w:val="0"/>
                <w:sz w:val="24"/>
                <w:lang w:val="en-US"/>
              </w:rPr>
              <w:t>(</w:t>
            </w:r>
            <w:r>
              <w:rPr>
                <w:rFonts w:hint="eastAsia" w:ascii="宋体" w:hAnsi="宋体" w:eastAsia="宋体" w:cs="宋体"/>
                <w:kern w:val="0"/>
                <w:sz w:val="24"/>
              </w:rPr>
              <w:t>存储空间不小于5T</w:t>
            </w:r>
            <w:r>
              <w:rPr>
                <w:rFonts w:hint="default" w:ascii="宋体" w:hAnsi="宋体" w:eastAsia="宋体" w:cs="宋体"/>
                <w:kern w:val="0"/>
                <w:sz w:val="24"/>
                <w:lang w:val="en-US"/>
              </w:rPr>
              <w:t>)</w:t>
            </w:r>
            <w:r>
              <w:rPr>
                <w:rFonts w:hint="eastAsia" w:ascii="宋体" w:hAnsi="宋体" w:eastAsia="宋体" w:cs="宋体"/>
                <w:kern w:val="0"/>
                <w:sz w:val="24"/>
              </w:rPr>
              <w:t>，存储时间满足合同年限。</w:t>
            </w:r>
          </w:p>
        </w:tc>
      </w:tr>
      <w:tr w14:paraId="4474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top"/>
          </w:tcPr>
          <w:p w14:paraId="25340C35">
            <w:pPr>
              <w:spacing w:after="0" w:line="240" w:lineRule="auto"/>
              <w:rPr>
                <w:rFonts w:hint="eastAsia" w:ascii="宋体" w:hAnsi="宋体" w:eastAsia="宋体"/>
                <w:sz w:val="24"/>
              </w:rPr>
            </w:pPr>
          </w:p>
        </w:tc>
        <w:tc>
          <w:tcPr>
            <w:tcW w:w="1311" w:type="dxa"/>
            <w:vMerge w:val="continue"/>
            <w:noWrap w:val="0"/>
            <w:vAlign w:val="top"/>
          </w:tcPr>
          <w:p w14:paraId="613D950C">
            <w:pPr>
              <w:spacing w:after="0" w:line="240" w:lineRule="auto"/>
              <w:rPr>
                <w:rFonts w:hint="eastAsia" w:ascii="宋体" w:hAnsi="宋体" w:eastAsia="宋体" w:cs="宋体"/>
                <w:kern w:val="0"/>
                <w:sz w:val="24"/>
              </w:rPr>
            </w:pPr>
          </w:p>
        </w:tc>
        <w:tc>
          <w:tcPr>
            <w:tcW w:w="6945" w:type="dxa"/>
            <w:noWrap w:val="0"/>
            <w:vAlign w:val="top"/>
          </w:tcPr>
          <w:p w14:paraId="12FEE3EC">
            <w:pPr>
              <w:snapToGrid w:val="0"/>
              <w:spacing w:after="0" w:line="360" w:lineRule="auto"/>
              <w:rPr>
                <w:rFonts w:hint="eastAsia" w:ascii="宋体" w:hAnsi="宋体" w:eastAsia="宋体" w:cs="宋体"/>
                <w:kern w:val="0"/>
                <w:sz w:val="24"/>
              </w:rPr>
            </w:pPr>
            <w:r>
              <w:rPr>
                <w:rFonts w:hint="eastAsia" w:ascii="宋体" w:hAnsi="宋体" w:eastAsia="宋体" w:cs="宋体"/>
                <w:kern w:val="0"/>
                <w:sz w:val="24"/>
              </w:rPr>
              <w:t>（3）数据</w:t>
            </w:r>
            <w:r>
              <w:rPr>
                <w:rFonts w:hint="eastAsia" w:ascii="宋体" w:hAnsi="宋体" w:eastAsia="宋体" w:cs="宋体"/>
                <w:kern w:val="0"/>
                <w:sz w:val="24"/>
                <w:lang w:val="en-US" w:eastAsia="zh-CN"/>
              </w:rPr>
              <w:t>脱敏加密</w:t>
            </w:r>
            <w:r>
              <w:rPr>
                <w:rFonts w:hint="eastAsia" w:ascii="宋体" w:hAnsi="宋体" w:eastAsia="宋体" w:cs="宋体"/>
                <w:kern w:val="0"/>
                <w:sz w:val="24"/>
              </w:rPr>
              <w:t>存储在云端，</w:t>
            </w:r>
            <w:r>
              <w:rPr>
                <w:rFonts w:hint="eastAsia" w:ascii="宋体" w:hAnsi="宋体" w:eastAsia="宋体" w:cs="宋体"/>
                <w:kern w:val="0"/>
                <w:sz w:val="24"/>
                <w:lang w:val="en-US" w:eastAsia="zh-CN"/>
              </w:rPr>
              <w:t>保障患者隐私，避免数据外泄</w:t>
            </w:r>
            <w:r>
              <w:rPr>
                <w:rFonts w:hint="eastAsia" w:ascii="宋体" w:hAnsi="宋体" w:eastAsia="宋体" w:cs="宋体"/>
                <w:kern w:val="0"/>
                <w:sz w:val="24"/>
              </w:rPr>
              <w:t>。</w:t>
            </w:r>
          </w:p>
        </w:tc>
      </w:tr>
      <w:tr w14:paraId="7B9D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top"/>
          </w:tcPr>
          <w:p w14:paraId="426AFE2C">
            <w:pPr>
              <w:spacing w:after="0" w:line="240" w:lineRule="auto"/>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1311" w:type="dxa"/>
            <w:noWrap w:val="0"/>
            <w:vAlign w:val="top"/>
          </w:tcPr>
          <w:p w14:paraId="45DDFA93">
            <w:pPr>
              <w:spacing w:after="0" w:line="240" w:lineRule="auto"/>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第三方接入</w:t>
            </w:r>
          </w:p>
        </w:tc>
        <w:tc>
          <w:tcPr>
            <w:tcW w:w="6945" w:type="dxa"/>
            <w:noWrap w:val="0"/>
            <w:vAlign w:val="top"/>
          </w:tcPr>
          <w:p w14:paraId="1BC27FDA">
            <w:pPr>
              <w:numPr>
                <w:ilvl w:val="0"/>
                <w:numId w:val="17"/>
              </w:numPr>
              <w:snapToGrid w:val="0"/>
              <w:spacing w:after="0" w:line="360" w:lineRule="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提供接入第三方数据标准接口。</w:t>
            </w:r>
          </w:p>
          <w:p w14:paraId="2683B3B4">
            <w:pPr>
              <w:numPr>
                <w:ilvl w:val="0"/>
                <w:numId w:val="17"/>
              </w:numPr>
              <w:snapToGrid w:val="0"/>
              <w:spacing w:after="0" w:line="360" w:lineRule="auto"/>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本次系统接入医共体分院共5台眼底照相机，如后期需新增接入眼底照相机，按每台不超过合同金额17%协商。</w:t>
            </w:r>
          </w:p>
        </w:tc>
      </w:tr>
    </w:tbl>
    <w:p w14:paraId="79C254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u w:val="single"/>
          <w:rtl w:val="0"/>
          <w:lang w:val="en-US" w:eastAsia="zh-CN"/>
        </w:rPr>
      </w:pPr>
      <w:r>
        <w:rPr>
          <w:rFonts w:hint="eastAsia" w:ascii="仿宋" w:eastAsia="仿宋" w:cs="仿宋"/>
          <w:sz w:val="24"/>
          <w:szCs w:val="24"/>
          <w:u w:val="single"/>
          <w:rtl w:val="0"/>
          <w:lang w:val="en-US" w:eastAsia="zh-CN"/>
        </w:rPr>
        <w:t>以上功能模块需提供相应的佐证资料（如截图）</w:t>
      </w:r>
    </w:p>
    <w:p w14:paraId="36FEFB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1DEF270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自合同签订之日起，1个月内完成项目建设，并投入使用。</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5CB1C5DE">
      <w:pPr>
        <w:rPr>
          <w:rFonts w:hint="default"/>
          <w:sz w:val="24"/>
          <w:szCs w:val="24"/>
          <w:lang w:val="en-US" w:eastAsia="zh-CN"/>
        </w:rPr>
      </w:pPr>
      <w:bookmarkStart w:id="7" w:name="_Toc19132"/>
      <w:bookmarkStart w:id="8" w:name="_Toc433726023"/>
      <w:bookmarkStart w:id="9" w:name="_Toc464637620"/>
      <w:bookmarkStart w:id="10" w:name="_Toc267320050"/>
      <w:r>
        <w:rPr>
          <w:rFonts w:hint="eastAsia"/>
          <w:sz w:val="24"/>
          <w:szCs w:val="24"/>
          <w:lang w:val="en-US" w:eastAsia="zh-CN"/>
        </w:rPr>
        <w:t>陈家桥医院指定地点。</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（三）验收方式：</w:t>
      </w:r>
    </w:p>
    <w:p w14:paraId="1D4557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1.供应商在接到成交通知后一周内，向采购人提供系统部署需求。</w:t>
      </w:r>
    </w:p>
    <w:p w14:paraId="390A2D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2.供应商应在合同签订后，正式入场实施，进行系统部署、调试。</w:t>
      </w:r>
    </w:p>
    <w:p w14:paraId="55490C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3.验收合格条件如下：</w:t>
      </w:r>
    </w:p>
    <w:p w14:paraId="39FF7B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（1）供应商提供的系统参数必须与响应文件所列一致。供应商提供的系统皆为符合现行国家标准和询价文件要求的系统，供应商不得擅自调整、更换系统的型号和质量等。</w:t>
      </w:r>
    </w:p>
    <w:p w14:paraId="3A0C04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（2）供应商需按功能为使用部门提供培训材料，并完成现场培训。</w:t>
      </w:r>
    </w:p>
    <w:p w14:paraId="7C479E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（3）供应商完成部署后，应进行不少于1个月的试运行，并完成试运行报告，在系统试运行期间所出现的问题得到解决，并运行正常。</w:t>
      </w:r>
    </w:p>
    <w:p w14:paraId="25A6797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五、质保期</w:t>
      </w:r>
    </w:p>
    <w:p w14:paraId="72F704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项目验收合格之日起1年</w:t>
      </w:r>
    </w:p>
    <w:p w14:paraId="17DBE2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1.成交供应商应按照有关标准、规范和采购人的要求开展工作。</w:t>
      </w:r>
    </w:p>
    <w:p w14:paraId="1F8D76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2.成交供应商不得将采购人提供的有关资料及工作成果通过任何方式向第三方透露，未经采购人同意，不得向第三方透露，成交供应商实施项目的一切程序都应符合国家安全、保密的有关规定和标准。</w:t>
      </w:r>
    </w:p>
    <w:p w14:paraId="79FA16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3.成交供应商应保证工作成果质量，因供应商原因造成的系统上传资料不完整或相关情况说明有误，按损失评估金额赔偿。</w:t>
      </w:r>
    </w:p>
    <w:p w14:paraId="707E7E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六、售后服务方案</w:t>
      </w:r>
    </w:p>
    <w:p w14:paraId="7C6217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投标人的服务承诺应按不低于招标文件中提出的所有服务要求的标准做出响应。其基本要求如下:</w:t>
      </w:r>
    </w:p>
    <w:p w14:paraId="04F75D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1.提供详细的服务方案，包含项目建设与运行管理、人员配置与培训、项目实施进度、重大问题处置流程、服务质量保障等内容</w:t>
      </w:r>
    </w:p>
    <w:p w14:paraId="21BE74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2.运维保障要求供应商在服务期内应当为采购人提供的技术支持和服务</w:t>
      </w:r>
    </w:p>
    <w:p w14:paraId="0342B1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(1)电话咨询。供应商应当为采购人提供技术援助电话，解答采购人在使用中遇到的问题，及时为采购人提出解决问题的建议。</w:t>
      </w:r>
    </w:p>
    <w:p w14:paraId="39317A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(2)现场响应。采购人遇到使用及技术问题，电话咨询不能解决的，供应商应在2小时内到达现场进行处理。</w:t>
      </w:r>
    </w:p>
    <w:p w14:paraId="05C1C0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3.本系统供应商应承诺提供终身免费维护维保升级服务。</w:t>
      </w:r>
    </w:p>
    <w:p w14:paraId="36445E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七、报价要求</w:t>
      </w:r>
      <w:bookmarkEnd w:id="7"/>
      <w:bookmarkEnd w:id="8"/>
      <w:bookmarkEnd w:id="9"/>
    </w:p>
    <w:bookmarkEnd w:id="10"/>
    <w:p w14:paraId="6E7D86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433726024"/>
      <w:bookmarkStart w:id="12" w:name="_Toc13737"/>
      <w:bookmarkStart w:id="13" w:name="_Toc464637621"/>
      <w:bookmarkStart w:id="14" w:name="_Toc433726026"/>
      <w:bookmarkStart w:id="15" w:name="_Toc267320051"/>
      <w:bookmarkStart w:id="16" w:name="_Toc464637622"/>
      <w:r>
        <w:rPr>
          <w:rFonts w:hint="eastAsia" w:ascii="仿宋" w:eastAsia="仿宋" w:cs="仿宋"/>
          <w:sz w:val="24"/>
          <w:szCs w:val="24"/>
          <w:rtl w:val="0"/>
          <w:lang w:val="en-US" w:eastAsia="zh-CN"/>
        </w:rPr>
        <w:t>本项目为人民币报价，报价应为完成该项目所需的接口费、人工费、调试费、后续服务费、利润、税金等所有费用。因供应商自身原因造成漏报、少报皆由供应商自行承担责任，采购人不再补偿。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八、</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414ED3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8" w:name="_Toc464637624"/>
      <w:bookmarkStart w:id="19" w:name="_Toc433726028"/>
      <w:bookmarkStart w:id="20" w:name="_Toc3963"/>
      <w:bookmarkStart w:id="21" w:name="_Toc416792607"/>
      <w:r>
        <w:rPr>
          <w:rFonts w:hint="eastAsia" w:ascii="仿宋" w:eastAsia="仿宋" w:cs="仿宋"/>
          <w:sz w:val="24"/>
          <w:szCs w:val="24"/>
          <w:rtl w:val="0"/>
          <w:lang w:val="en-US" w:eastAsia="zh-CN"/>
        </w:rPr>
        <w:t>合同签订，入场部署7个工作日后，5个工作日内启动付款流程，支付至合同款的30％，验收合格后，5个工作日内启动付款流程，支付至合同款的90%，合同签订日起一年后，5个工作日内启动付款流程，支付至合同款的100%。</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九、知识产权</w:t>
      </w:r>
      <w:bookmarkEnd w:id="18"/>
      <w:bookmarkEnd w:id="19"/>
      <w:bookmarkEnd w:id="20"/>
      <w:bookmarkEnd w:id="21"/>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382D3EAE">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1EA156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电话15730795835。（注：响应文件封面需注明：项目名称+供应商名称+联系电话+联系人）。</w:t>
      </w:r>
    </w:p>
    <w:p w14:paraId="1956FA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2、报名截止时间2026年3月20日15：00（北京时间）</w:t>
      </w:r>
    </w:p>
    <w:p w14:paraId="3BD53F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十二</w:t>
      </w:r>
      <w:r>
        <w:rPr>
          <w:rFonts w:hint="eastAsia" w:ascii="宋体" w:hAnsi="宋体" w:eastAsia="黑体" w:cs="宋体"/>
          <w:b/>
          <w:color w:val="000000"/>
          <w:sz w:val="28"/>
        </w:rPr>
        <w:t>、成交原则</w:t>
      </w:r>
    </w:p>
    <w:p w14:paraId="16F896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22" w:name="_Toc7238"/>
      <w:r>
        <w:rPr>
          <w:rFonts w:hint="eastAsia" w:ascii="仿宋" w:eastAsia="仿宋" w:cs="仿宋"/>
          <w:sz w:val="24"/>
          <w:szCs w:val="24"/>
          <w:rtl w:val="0"/>
          <w:lang w:val="en-US" w:eastAsia="zh-CN"/>
        </w:rPr>
        <w:t>（一）采购人：重庆市沙坪坝区陈家桥医院</w:t>
      </w:r>
    </w:p>
    <w:p w14:paraId="03C3C7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联系人： 姚老师</w:t>
      </w:r>
    </w:p>
    <w:p w14:paraId="304324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话：023-61500030</w:t>
      </w:r>
    </w:p>
    <w:p w14:paraId="2CFC43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备 注：此联系方式负责采购文件的咨询解答 </w:t>
      </w:r>
    </w:p>
    <w:p w14:paraId="46161A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（二）需求人：重庆市沙坪坝区陈家桥医院</w:t>
      </w:r>
    </w:p>
    <w:p w14:paraId="7B1DB1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联系人： 陈老师</w:t>
      </w:r>
    </w:p>
    <w:p w14:paraId="6D45B6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话：023-81151823</w:t>
      </w:r>
    </w:p>
    <w:p w14:paraId="02BF23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备 注：此联系方式负责技术参数的咨询解答 </w:t>
      </w:r>
    </w:p>
    <w:p w14:paraId="4F9017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（三）监督人：重庆市沙坪坝区陈家桥医院</w:t>
      </w:r>
    </w:p>
    <w:p w14:paraId="7743F2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联系人：熊老师 </w:t>
      </w:r>
    </w:p>
    <w:p w14:paraId="2254D2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 话：023-81918679  </w:t>
      </w:r>
    </w:p>
    <w:p w14:paraId="0AC2FC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备 注：此联系方式负责采购过程中的质疑或投诉</w:t>
      </w:r>
    </w:p>
    <w:bookmarkEnd w:id="22"/>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、其他</w:t>
      </w:r>
    </w:p>
    <w:p w14:paraId="3EEF2B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3"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E4DEC1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C7F855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6AAAA1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29DB92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7D15E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40AE6A3">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0AEE91">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7459C277">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0FD5B3AD">
      <w:pPr>
        <w:pStyle w:val="16"/>
        <w:rPr>
          <w:rFonts w:hint="eastAsia" w:ascii="宋体" w:hAnsi="宋体" w:eastAsia="黑体" w:cs="宋体"/>
          <w:b/>
          <w:sz w:val="30"/>
          <w:szCs w:val="28"/>
        </w:rPr>
      </w:pPr>
    </w:p>
    <w:p w14:paraId="7E612EA3">
      <w:pPr>
        <w:pStyle w:val="17"/>
        <w:rPr>
          <w:rFonts w:hint="eastAsia"/>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3"/>
    <w:p w14:paraId="2A1138C2">
      <w:pPr>
        <w:tabs>
          <w:tab w:val="left" w:pos="6300"/>
        </w:tabs>
        <w:snapToGrid w:val="0"/>
        <w:rPr>
          <w:rFonts w:ascii="方正仿宋_GBK" w:hAnsi="方正仿宋_GBK" w:eastAsia="方正仿宋_GBK" w:cs="方正仿宋_GBK"/>
          <w:b/>
          <w:sz w:val="24"/>
          <w:szCs w:val="24"/>
        </w:rPr>
      </w:pPr>
      <w:bookmarkStart w:id="24" w:name="_Toc9726"/>
      <w:bookmarkStart w:id="25" w:name="_Toc18094"/>
      <w:bookmarkStart w:id="26" w:name="_Toc477027621"/>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4"/>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7"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27"/>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8"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28"/>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5"/>
    <w:bookmarkEnd w:id="26"/>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KSOFEC000A01">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6"/>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6"/>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6"/>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7"/>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7"/>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7"/>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3F094C7E"/>
    <w:multiLevelType w:val="singleLevel"/>
    <w:tmpl w:val="3F094C7E"/>
    <w:lvl w:ilvl="0" w:tentative="0">
      <w:start w:val="1"/>
      <w:numFmt w:val="decimal"/>
      <w:suff w:val="nothing"/>
      <w:lvlText w:val="（%1）"/>
      <w:lvlJc w:val="left"/>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5"/>
  </w:num>
  <w:num w:numId="3">
    <w:abstractNumId w:val="17"/>
  </w:num>
  <w:num w:numId="4">
    <w:abstractNumId w:val="8"/>
  </w:num>
  <w:num w:numId="5">
    <w:abstractNumId w:val="11"/>
  </w:num>
  <w:num w:numId="6">
    <w:abstractNumId w:val="3"/>
  </w:num>
  <w:num w:numId="7">
    <w:abstractNumId w:val="12"/>
  </w:num>
  <w:num w:numId="8">
    <w:abstractNumId w:val="9"/>
  </w:num>
  <w:num w:numId="9">
    <w:abstractNumId w:val="14"/>
  </w:num>
  <w:num w:numId="10">
    <w:abstractNumId w:val="13"/>
  </w:num>
  <w:num w:numId="11">
    <w:abstractNumId w:val="6"/>
  </w:num>
  <w:num w:numId="12">
    <w:abstractNumId w:val="15"/>
  </w:num>
  <w:num w:numId="13">
    <w:abstractNumId w:val="4"/>
  </w:num>
  <w:num w:numId="14">
    <w:abstractNumId w:val="2"/>
  </w:num>
  <w:num w:numId="15">
    <w:abstractNumId w:val="7"/>
  </w:num>
  <w:num w:numId="16">
    <w:abstractNumId w:val="0"/>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50246A7"/>
    <w:rsid w:val="075C35E2"/>
    <w:rsid w:val="07F537BE"/>
    <w:rsid w:val="09293C1C"/>
    <w:rsid w:val="0A5222A7"/>
    <w:rsid w:val="0B3010BA"/>
    <w:rsid w:val="0B642CE9"/>
    <w:rsid w:val="0B732CEA"/>
    <w:rsid w:val="0B8C422C"/>
    <w:rsid w:val="0BAE757D"/>
    <w:rsid w:val="0C6F257F"/>
    <w:rsid w:val="0D592931"/>
    <w:rsid w:val="0E774B37"/>
    <w:rsid w:val="0F156FF2"/>
    <w:rsid w:val="0F4E14EE"/>
    <w:rsid w:val="0F916572"/>
    <w:rsid w:val="105C0433"/>
    <w:rsid w:val="109C2F25"/>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3D762F6"/>
    <w:rsid w:val="27070CA1"/>
    <w:rsid w:val="270F3FF9"/>
    <w:rsid w:val="28077B81"/>
    <w:rsid w:val="28321D4D"/>
    <w:rsid w:val="2A344B97"/>
    <w:rsid w:val="2ADB5CCE"/>
    <w:rsid w:val="2B3247EE"/>
    <w:rsid w:val="2DA41B2C"/>
    <w:rsid w:val="2E505C0F"/>
    <w:rsid w:val="2E8452CD"/>
    <w:rsid w:val="2ED44778"/>
    <w:rsid w:val="2FCF37B8"/>
    <w:rsid w:val="309D4424"/>
    <w:rsid w:val="31C808B4"/>
    <w:rsid w:val="34076784"/>
    <w:rsid w:val="34181C02"/>
    <w:rsid w:val="3423303B"/>
    <w:rsid w:val="34494B9F"/>
    <w:rsid w:val="3562520A"/>
    <w:rsid w:val="35B17B91"/>
    <w:rsid w:val="35BD7BAA"/>
    <w:rsid w:val="38106BE9"/>
    <w:rsid w:val="387719FE"/>
    <w:rsid w:val="387C16D5"/>
    <w:rsid w:val="3B6F4DCA"/>
    <w:rsid w:val="3C2B6D87"/>
    <w:rsid w:val="3C2D6367"/>
    <w:rsid w:val="3C6946B5"/>
    <w:rsid w:val="3EC66A70"/>
    <w:rsid w:val="406E2D1D"/>
    <w:rsid w:val="40F84A00"/>
    <w:rsid w:val="412874F2"/>
    <w:rsid w:val="415215C9"/>
    <w:rsid w:val="42955FAB"/>
    <w:rsid w:val="45975B2F"/>
    <w:rsid w:val="465817B0"/>
    <w:rsid w:val="46A55988"/>
    <w:rsid w:val="48EA42C6"/>
    <w:rsid w:val="4AED7BC5"/>
    <w:rsid w:val="4C0E4A75"/>
    <w:rsid w:val="4C374D7E"/>
    <w:rsid w:val="4C3E42DF"/>
    <w:rsid w:val="4D155616"/>
    <w:rsid w:val="4DDD0570"/>
    <w:rsid w:val="4DFC79FB"/>
    <w:rsid w:val="4E3450A1"/>
    <w:rsid w:val="50897E60"/>
    <w:rsid w:val="519A3A0B"/>
    <w:rsid w:val="519E7F77"/>
    <w:rsid w:val="52640910"/>
    <w:rsid w:val="532479B4"/>
    <w:rsid w:val="54CA6783"/>
    <w:rsid w:val="54ED2B20"/>
    <w:rsid w:val="57A74DE0"/>
    <w:rsid w:val="57B1418D"/>
    <w:rsid w:val="57D367F9"/>
    <w:rsid w:val="584F3B55"/>
    <w:rsid w:val="595D1A5F"/>
    <w:rsid w:val="59B27B6C"/>
    <w:rsid w:val="5A0E2EF6"/>
    <w:rsid w:val="5AA62E48"/>
    <w:rsid w:val="5B433E2C"/>
    <w:rsid w:val="5B8B0992"/>
    <w:rsid w:val="5BC20118"/>
    <w:rsid w:val="5C981DBF"/>
    <w:rsid w:val="5C9B1B86"/>
    <w:rsid w:val="5D755C5D"/>
    <w:rsid w:val="5E140461"/>
    <w:rsid w:val="600E201D"/>
    <w:rsid w:val="602F210D"/>
    <w:rsid w:val="61865E2A"/>
    <w:rsid w:val="61C56B56"/>
    <w:rsid w:val="63C92918"/>
    <w:rsid w:val="64623876"/>
    <w:rsid w:val="64A53C67"/>
    <w:rsid w:val="64FE2BB3"/>
    <w:rsid w:val="662750D1"/>
    <w:rsid w:val="679F2A2E"/>
    <w:rsid w:val="67EC4D0C"/>
    <w:rsid w:val="67FB1A94"/>
    <w:rsid w:val="684014B1"/>
    <w:rsid w:val="687F3E33"/>
    <w:rsid w:val="68DE65B8"/>
    <w:rsid w:val="69A56068"/>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065147"/>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7"/>
    <w:link w:val="69"/>
    <w:autoRedefine/>
    <w:unhideWhenUsed/>
    <w:qFormat/>
    <w:uiPriority w:val="99"/>
    <w:pPr>
      <w:spacing w:after="120"/>
    </w:pPr>
  </w:style>
  <w:style w:type="paragraph" w:styleId="17">
    <w:name w:val="Body Text 2"/>
    <w:basedOn w:val="1"/>
    <w:autoRedefine/>
    <w:qFormat/>
    <w:uiPriority w:val="0"/>
    <w:pPr>
      <w:adjustRightInd w:val="0"/>
      <w:snapToGrid w:val="0"/>
      <w:spacing w:after="120" w:line="480" w:lineRule="auto"/>
    </w:pPr>
    <w:rPr>
      <w:sz w:val="24"/>
    </w:rPr>
  </w:style>
  <w:style w:type="paragraph" w:styleId="18">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9">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20">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1">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2">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3">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4">
    <w:name w:val="endnote text"/>
    <w:basedOn w:val="1"/>
    <w:unhideWhenUsed/>
    <w:qFormat/>
    <w:uiPriority w:val="99"/>
    <w:pPr>
      <w:snapToGrid w:val="0"/>
      <w:jc w:val="left"/>
    </w:pPr>
  </w:style>
  <w:style w:type="paragraph" w:styleId="25">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6">
    <w:name w:val="footer"/>
    <w:basedOn w:val="1"/>
    <w:link w:val="56"/>
    <w:autoRedefine/>
    <w:unhideWhenUsed/>
    <w:qFormat/>
    <w:uiPriority w:val="99"/>
    <w:pPr>
      <w:tabs>
        <w:tab w:val="center" w:pos="4153"/>
        <w:tab w:val="right" w:pos="8306"/>
      </w:tabs>
      <w:snapToGrid w:val="0"/>
      <w:jc w:val="left"/>
    </w:pPr>
    <w:rPr>
      <w:sz w:val="18"/>
      <w:szCs w:val="18"/>
    </w:rPr>
  </w:style>
  <w:style w:type="paragraph" w:styleId="27">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9">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30">
    <w:name w:val="index heading"/>
    <w:basedOn w:val="1"/>
    <w:next w:val="31"/>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1">
    <w:name w:val="index 1"/>
    <w:basedOn w:val="1"/>
    <w:next w:val="1"/>
    <w:autoRedefine/>
    <w:semiHidden/>
    <w:unhideWhenUsed/>
    <w:qFormat/>
    <w:uiPriority w:val="0"/>
  </w:style>
  <w:style w:type="paragraph" w:styleId="32">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3">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4">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5">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6">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7">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7"/>
    <w:autoRedefine/>
    <w:qFormat/>
    <w:uiPriority w:val="99"/>
    <w:rPr>
      <w:sz w:val="18"/>
      <w:szCs w:val="18"/>
    </w:rPr>
  </w:style>
  <w:style w:type="character" w:customStyle="1" w:styleId="56">
    <w:name w:val="页脚 字符"/>
    <w:basedOn w:val="48"/>
    <w:link w:val="26"/>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8"/>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1"/>
    <w:autoRedefine/>
    <w:qFormat/>
    <w:uiPriority w:val="99"/>
    <w:rPr>
      <w:rFonts w:hAnsi="Courier New" w:eastAsia="等线" w:cs="Courier New"/>
      <w:kern w:val="2"/>
      <w:sz w:val="32"/>
      <w:szCs w:val="21"/>
    </w:rPr>
  </w:style>
  <w:style w:type="character" w:customStyle="1" w:styleId="83">
    <w:name w:val="日期 字符"/>
    <w:basedOn w:val="48"/>
    <w:link w:val="23"/>
    <w:autoRedefine/>
    <w:qFormat/>
    <w:uiPriority w:val="0"/>
    <w:rPr>
      <w:rFonts w:eastAsia="方正仿宋_GBK" w:cstheme="minorBidi"/>
      <w:kern w:val="2"/>
      <w:sz w:val="32"/>
      <w:szCs w:val="21"/>
    </w:rPr>
  </w:style>
  <w:style w:type="character" w:customStyle="1" w:styleId="84">
    <w:name w:val="批注框文本 字符"/>
    <w:basedOn w:val="48"/>
    <w:link w:val="25"/>
    <w:autoRedefine/>
    <w:qFormat/>
    <w:uiPriority w:val="0"/>
    <w:rPr>
      <w:rFonts w:eastAsia="方正仿宋_GBK" w:cstheme="minorBidi"/>
      <w:kern w:val="2"/>
      <w:sz w:val="18"/>
      <w:szCs w:val="18"/>
    </w:rPr>
  </w:style>
  <w:style w:type="character" w:customStyle="1" w:styleId="85">
    <w:name w:val="副标题 字符"/>
    <w:basedOn w:val="48"/>
    <w:link w:val="32"/>
    <w:autoRedefine/>
    <w:qFormat/>
    <w:uiPriority w:val="11"/>
    <w:rPr>
      <w:rFonts w:eastAsia="方正仿宋_GBK" w:cstheme="minorBidi"/>
      <w:b/>
      <w:bCs/>
      <w:kern w:val="28"/>
      <w:sz w:val="32"/>
      <w:szCs w:val="32"/>
    </w:rPr>
  </w:style>
  <w:style w:type="character" w:customStyle="1" w:styleId="86">
    <w:name w:val="脚注文本 字符"/>
    <w:basedOn w:val="48"/>
    <w:link w:val="34"/>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8"/>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3"/>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20"/>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2059</Words>
  <Characters>2082</Characters>
  <Lines>159</Lines>
  <Paragraphs>45</Paragraphs>
  <TotalTime>0</TotalTime>
  <ScaleCrop>false</ScaleCrop>
  <LinksUpToDate>false</LinksUpToDate>
  <CharactersWithSpaces>2085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赵文</cp:lastModifiedBy>
  <dcterms:modified xsi:type="dcterms:W3CDTF">2026-03-17T08:00:15Z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AB8F1B1303814DA38FEC76EB5EECCDD1_13</vt:lpwstr>
  </property>
  <property fmtid="{D5CDD505-2E9C-101B-9397-08002B2CF9AE}" pid="4" name="KSOTemplateDocerSaveRecord">
    <vt:lpwstr>eyJoZGlkIjoiNzM0Y2IzMWIyZTM0YWU2M2RjYWY3OTAxMmZjZDBiZmYiLCJ1c2VySWQiOiIxNTg3NDI5NTMyIn0=</vt:lpwstr>
  </property>
</Properties>
</file>