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663E68DF">
      <w:pPr>
        <w:pStyle w:val="63"/>
        <w:spacing w:before="0" w:after="0" w:line="560" w:lineRule="exact"/>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接入全市统一的孕产妇健康档案信息监测系统</w:t>
      </w: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lang w:val="en-US" w:eastAsia="zh-CN"/>
        </w:rPr>
        <w:t>改造</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接入全市统一的孕产妇健康档案信息监测系统改造</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50000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64637619"/>
      <w:bookmarkStart w:id="1" w:name="_Toc26735"/>
      <w:bookmarkStart w:id="2" w:name="_Toc416792603"/>
      <w:bookmarkStart w:id="3" w:name="_Toc433726022"/>
      <w:bookmarkStart w:id="4" w:name="_Toc267320049"/>
      <w:bookmarkStart w:id="5" w:name="_Toc23014"/>
      <w:bookmarkStart w:id="6" w:name="_Toc514962183"/>
    </w:p>
    <w:p w14:paraId="647C82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项目情况：为贯彻落实国家卫生健康委《关于继续开展孕产妇建档信息监测工作的通知》 要求，构建全市统一的孕产妇健康档案信息监测体系，精准掌握孕产妇保健服 务覆盖与产科资源利用情况，推动孕产妇健康管理信息互联互通，实现孕前检 查、早孕建卡、产前检查、住院分娩、产后访视、产后 42 天检查等全流程服 务信息共享，提升母婴安全保障水平。 按文件要求，各级医疗保健机构积极推进机构信息系统改造与对接，确保孕产妇健康信息及时、准确、完整上报。我院拟对接入全市统一的孕产妇健康档案信息监测系统改造进行采购。</w:t>
      </w:r>
    </w:p>
    <w:p w14:paraId="317FC7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接口开发技术标准与性能要求：</w:t>
      </w:r>
    </w:p>
    <w:p w14:paraId="727249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1.协议标准：基于WebServices（SOAP），使用GetInfo/SaveInfo函数，支持XML共享文档加密压缩传输。</w:t>
      </w:r>
    </w:p>
    <w:p w14:paraId="1013E4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2.文档格式：必须严格遵循规范中“文档头+文档体”结构，支持OperationType（New/Update/Cancel）及返回Reply文档。</w:t>
      </w:r>
    </w:p>
    <w:p w14:paraId="1ECD80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3.编码系统：必须使用规范中定义的“重庆市妇幼卫生信息交互共享文档分类编码系统”。</w:t>
      </w:r>
    </w:p>
    <w:p w14:paraId="7997C4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4.数据元与值域：必须匹配规范附录4.3数据集，所有必填项（Y）不得缺失，选填项（N）为空时需传空标签。</w:t>
      </w:r>
    </w:p>
    <w:p w14:paraId="5F36FE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接口开发清单：</w:t>
      </w:r>
    </w:p>
    <w:tbl>
      <w:tblPr>
        <w:tblStyle w:val="44"/>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180"/>
        <w:gridCol w:w="4095"/>
        <w:gridCol w:w="1667"/>
      </w:tblGrid>
      <w:tr w14:paraId="06F4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top"/>
          </w:tcPr>
          <w:p w14:paraId="1D9171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序号</w:t>
            </w:r>
          </w:p>
        </w:tc>
        <w:tc>
          <w:tcPr>
            <w:tcW w:w="3180" w:type="dxa"/>
          </w:tcPr>
          <w:p w14:paraId="2B98D1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接口名称</w:t>
            </w:r>
          </w:p>
        </w:tc>
        <w:tc>
          <w:tcPr>
            <w:tcW w:w="4095" w:type="dxa"/>
          </w:tcPr>
          <w:p w14:paraId="476D6C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功能说明</w:t>
            </w:r>
          </w:p>
        </w:tc>
        <w:tc>
          <w:tcPr>
            <w:tcW w:w="1667" w:type="dxa"/>
          </w:tcPr>
          <w:p w14:paraId="200BDE1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数据方向</w:t>
            </w:r>
          </w:p>
        </w:tc>
      </w:tr>
      <w:tr w14:paraId="6EE5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05" w:type="dxa"/>
            <w:vAlign w:val="center"/>
          </w:tcPr>
          <w:p w14:paraId="34DF2C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w:t>
            </w:r>
          </w:p>
        </w:tc>
        <w:tc>
          <w:tcPr>
            <w:tcW w:w="3180" w:type="dxa"/>
            <w:vAlign w:val="center"/>
          </w:tcPr>
          <w:p w14:paraId="29186C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孕期档案信息推送接口</w:t>
            </w:r>
          </w:p>
        </w:tc>
        <w:tc>
          <w:tcPr>
            <w:tcW w:w="4095" w:type="dxa"/>
            <w:vAlign w:val="center"/>
          </w:tcPr>
          <w:p w14:paraId="2FAC25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推送孕产妇建档信息</w:t>
            </w:r>
          </w:p>
        </w:tc>
        <w:tc>
          <w:tcPr>
            <w:tcW w:w="1667" w:type="dxa"/>
            <w:vAlign w:val="center"/>
          </w:tcPr>
          <w:p w14:paraId="788DE2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tc>
      </w:tr>
      <w:tr w14:paraId="176B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CF289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w:t>
            </w:r>
          </w:p>
        </w:tc>
        <w:tc>
          <w:tcPr>
            <w:tcW w:w="3180" w:type="dxa"/>
            <w:vAlign w:val="center"/>
          </w:tcPr>
          <w:p w14:paraId="175B3B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孕期档案及病史推送接口</w:t>
            </w:r>
          </w:p>
        </w:tc>
        <w:tc>
          <w:tcPr>
            <w:tcW w:w="4095" w:type="dxa"/>
            <w:vAlign w:val="center"/>
          </w:tcPr>
          <w:p w14:paraId="40CCDE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推送孕产妇病史、月经史、家族史等</w:t>
            </w:r>
          </w:p>
        </w:tc>
        <w:tc>
          <w:tcPr>
            <w:tcW w:w="1667" w:type="dxa"/>
            <w:vAlign w:val="center"/>
          </w:tcPr>
          <w:p w14:paraId="681476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tc>
      </w:tr>
      <w:tr w14:paraId="4403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04BB47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w:t>
            </w:r>
          </w:p>
        </w:tc>
        <w:tc>
          <w:tcPr>
            <w:tcW w:w="3180" w:type="dxa"/>
            <w:vAlign w:val="center"/>
          </w:tcPr>
          <w:p w14:paraId="09D3B9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孕期产检信息推送接口</w:t>
            </w:r>
          </w:p>
        </w:tc>
        <w:tc>
          <w:tcPr>
            <w:tcW w:w="4095" w:type="dxa"/>
            <w:vAlign w:val="center"/>
          </w:tcPr>
          <w:p w14:paraId="779E24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推送每次产检记录(血压、宫高、胎心等)</w:t>
            </w:r>
          </w:p>
        </w:tc>
        <w:tc>
          <w:tcPr>
            <w:tcW w:w="1667" w:type="dxa"/>
            <w:vAlign w:val="center"/>
          </w:tcPr>
          <w:p w14:paraId="7525C6C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p w14:paraId="7189CE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p>
        </w:tc>
      </w:tr>
      <w:tr w14:paraId="454E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3980FB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w:t>
            </w:r>
          </w:p>
        </w:tc>
        <w:tc>
          <w:tcPr>
            <w:tcW w:w="3180" w:type="dxa"/>
            <w:vAlign w:val="center"/>
          </w:tcPr>
          <w:p w14:paraId="71E72B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高危筛查信息推送接口</w:t>
            </w:r>
          </w:p>
        </w:tc>
        <w:tc>
          <w:tcPr>
            <w:tcW w:w="4095" w:type="dxa"/>
            <w:vAlign w:val="center"/>
          </w:tcPr>
          <w:p w14:paraId="7CEB36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推送高危因素、评分、分级、转诊建议</w:t>
            </w:r>
          </w:p>
        </w:tc>
        <w:tc>
          <w:tcPr>
            <w:tcW w:w="1667" w:type="dxa"/>
            <w:vAlign w:val="center"/>
          </w:tcPr>
          <w:p w14:paraId="7F4303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p w14:paraId="3DC4F5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p>
        </w:tc>
      </w:tr>
      <w:tr w14:paraId="4442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522D5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w:t>
            </w:r>
          </w:p>
        </w:tc>
        <w:tc>
          <w:tcPr>
            <w:tcW w:w="3180" w:type="dxa"/>
            <w:vAlign w:val="center"/>
          </w:tcPr>
          <w:p w14:paraId="312594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分娩信息推送接口</w:t>
            </w:r>
          </w:p>
        </w:tc>
        <w:tc>
          <w:tcPr>
            <w:tcW w:w="4095" w:type="dxa"/>
            <w:vAlign w:val="center"/>
          </w:tcPr>
          <w:p w14:paraId="105EA1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推送分娩方式、产程、婴儿出生信息等</w:t>
            </w:r>
          </w:p>
        </w:tc>
        <w:tc>
          <w:tcPr>
            <w:tcW w:w="1667" w:type="dxa"/>
            <w:vAlign w:val="center"/>
          </w:tcPr>
          <w:p w14:paraId="2BB88D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tc>
      </w:tr>
      <w:tr w14:paraId="339D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2F65E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w:t>
            </w:r>
          </w:p>
        </w:tc>
        <w:tc>
          <w:tcPr>
            <w:tcW w:w="3180" w:type="dxa"/>
            <w:vAlign w:val="center"/>
          </w:tcPr>
          <w:p w14:paraId="6E7135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产后访视信息推送接口</w:t>
            </w:r>
          </w:p>
        </w:tc>
        <w:tc>
          <w:tcPr>
            <w:tcW w:w="4095" w:type="dxa"/>
            <w:vAlign w:val="center"/>
          </w:tcPr>
          <w:p w14:paraId="6197C3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推送产后访视记录(恶露、子宫复旧等)</w:t>
            </w:r>
          </w:p>
        </w:tc>
        <w:tc>
          <w:tcPr>
            <w:tcW w:w="1667" w:type="dxa"/>
            <w:vAlign w:val="center"/>
          </w:tcPr>
          <w:p w14:paraId="264112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tc>
      </w:tr>
      <w:tr w14:paraId="0087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E67C76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w:t>
            </w:r>
          </w:p>
        </w:tc>
        <w:tc>
          <w:tcPr>
            <w:tcW w:w="3180" w:type="dxa"/>
            <w:vAlign w:val="center"/>
          </w:tcPr>
          <w:p w14:paraId="0EAEC0A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产后42天检查信息推送接口</w:t>
            </w:r>
          </w:p>
        </w:tc>
        <w:tc>
          <w:tcPr>
            <w:tcW w:w="4095" w:type="dxa"/>
            <w:vAlign w:val="center"/>
          </w:tcPr>
          <w:p w14:paraId="141317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推送产后42天检查（盆底、心理评估等）</w:t>
            </w:r>
          </w:p>
        </w:tc>
        <w:tc>
          <w:tcPr>
            <w:tcW w:w="1667" w:type="dxa"/>
            <w:vAlign w:val="center"/>
          </w:tcPr>
          <w:p w14:paraId="1C57B3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系统→市平台</w:t>
            </w:r>
          </w:p>
        </w:tc>
      </w:tr>
      <w:tr w14:paraId="2CEE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A51EB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w:t>
            </w:r>
          </w:p>
        </w:tc>
        <w:tc>
          <w:tcPr>
            <w:tcW w:w="3180" w:type="dxa"/>
            <w:vAlign w:val="center"/>
          </w:tcPr>
          <w:p w14:paraId="4627F0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孕产妇基本信息获取接口</w:t>
            </w:r>
          </w:p>
        </w:tc>
        <w:tc>
          <w:tcPr>
            <w:tcW w:w="4095" w:type="dxa"/>
            <w:vAlign w:val="center"/>
          </w:tcPr>
          <w:p w14:paraId="3470ED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获取孕产妇基本档案信息</w:t>
            </w:r>
          </w:p>
        </w:tc>
        <w:tc>
          <w:tcPr>
            <w:tcW w:w="1667" w:type="dxa"/>
            <w:vAlign w:val="center"/>
          </w:tcPr>
          <w:p w14:paraId="13E171C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市平台→系统</w:t>
            </w:r>
          </w:p>
        </w:tc>
      </w:tr>
      <w:tr w14:paraId="7155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CD200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9</w:t>
            </w:r>
          </w:p>
        </w:tc>
        <w:tc>
          <w:tcPr>
            <w:tcW w:w="3180" w:type="dxa"/>
            <w:vAlign w:val="center"/>
          </w:tcPr>
          <w:p w14:paraId="161432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孕产妇体检信息获取接口</w:t>
            </w:r>
          </w:p>
        </w:tc>
        <w:tc>
          <w:tcPr>
            <w:tcW w:w="4095" w:type="dxa"/>
            <w:vAlign w:val="center"/>
          </w:tcPr>
          <w:p w14:paraId="47C16C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获取孕产妇历次体检记录</w:t>
            </w:r>
          </w:p>
        </w:tc>
        <w:tc>
          <w:tcPr>
            <w:tcW w:w="1667" w:type="dxa"/>
            <w:vAlign w:val="center"/>
          </w:tcPr>
          <w:p w14:paraId="1AC62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市平台→系统</w:t>
            </w:r>
          </w:p>
        </w:tc>
      </w:tr>
      <w:tr w14:paraId="18D1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58FB7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10</w:t>
            </w:r>
          </w:p>
        </w:tc>
        <w:tc>
          <w:tcPr>
            <w:tcW w:w="3180" w:type="dxa"/>
            <w:vAlign w:val="center"/>
          </w:tcPr>
          <w:p w14:paraId="270E06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分娩信息获取接口</w:t>
            </w:r>
          </w:p>
        </w:tc>
        <w:tc>
          <w:tcPr>
            <w:tcW w:w="4095" w:type="dxa"/>
            <w:vAlign w:val="center"/>
          </w:tcPr>
          <w:p w14:paraId="49F39D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获取孕产妇分娩记录及婴儿信息</w:t>
            </w:r>
          </w:p>
        </w:tc>
        <w:tc>
          <w:tcPr>
            <w:tcW w:w="1667" w:type="dxa"/>
            <w:vAlign w:val="center"/>
          </w:tcPr>
          <w:p w14:paraId="6499E98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市平台→系统</w:t>
            </w:r>
          </w:p>
        </w:tc>
      </w:tr>
    </w:tbl>
    <w:p w14:paraId="1476A8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7B4ED2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合同签订后一个月完成项目建设并投入使用。</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19132"/>
      <w:bookmarkStart w:id="8" w:name="_Toc433726023"/>
      <w:bookmarkStart w:id="9" w:name="_Toc464637620"/>
      <w:bookmarkStart w:id="10" w:name="_Toc267320050"/>
      <w:r>
        <w:rPr>
          <w:rFonts w:hint="eastAsia" w:ascii="仿宋" w:eastAsia="仿宋" w:cs="仿宋"/>
          <w:sz w:val="24"/>
          <w:szCs w:val="24"/>
          <w:rtl w:val="0"/>
          <w:lang w:val="en-US" w:eastAsia="zh-CN"/>
        </w:rPr>
        <w:t>（三）验收方式：</w:t>
      </w:r>
    </w:p>
    <w:p w14:paraId="7147C4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功能性验收：自动定时上传、统计查看上传日志，支持失败重试、更新、取消。</w:t>
      </w:r>
    </w:p>
    <w:p w14:paraId="25482A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性能验收：并发测试≥50 TPS，响应时间≤3秒，连续运行7天无故障。</w:t>
      </w:r>
    </w:p>
    <w:p w14:paraId="1C3A3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标准合规性：报文结构、编码、数据元、值域100%符合《接口规范》。</w:t>
      </w:r>
    </w:p>
    <w:p w14:paraId="5D2E15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安全性验收：通过加密传输、CA认证、漏洞扫描（OWASP TOP 10）。</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40070C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464637622"/>
      <w:bookmarkStart w:id="12" w:name="_Toc433726026"/>
      <w:bookmarkStart w:id="13" w:name="_Toc267320051"/>
      <w:bookmarkStart w:id="14" w:name="_Toc24020"/>
      <w:r>
        <w:rPr>
          <w:rFonts w:hint="eastAsia" w:ascii="仿宋" w:eastAsia="仿宋" w:cs="仿宋"/>
          <w:sz w:val="24"/>
          <w:szCs w:val="24"/>
          <w:rtl w:val="0"/>
          <w:lang w:val="en-US" w:eastAsia="zh-CN"/>
        </w:rPr>
        <w:t>本项目为人民币报价，报价应为完成该项目所需的软件费、配件及材料费、人工费、措施费、风险费、运输费、管理费、包装费、调试费、后续服务费、利润、税金等所有费用。因供应商自身原因造成漏报、少报皆由供应商自行承担责任，采购人不再补偿。</w:t>
      </w:r>
    </w:p>
    <w:p w14:paraId="77C005C8">
      <w:pPr>
        <w:keepNext/>
        <w:keepLines/>
        <w:widowControl/>
        <w:numPr>
          <w:ilvl w:val="0"/>
          <w:numId w:val="17"/>
        </w:numPr>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质量保证期及售后</w:t>
      </w:r>
    </w:p>
    <w:p w14:paraId="2B84C087">
      <w:pPr>
        <w:pStyle w:val="2"/>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（一）项目验收合格日期起1年</w:t>
      </w:r>
    </w:p>
    <w:p w14:paraId="1E1E63D5">
      <w:pPr>
        <w:pStyle w:val="2"/>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1.成交供应商应按照有关标准、规范和采购人的要求开展工作。</w:t>
      </w:r>
    </w:p>
    <w:p w14:paraId="45B6A1B8">
      <w:pPr>
        <w:pStyle w:val="2"/>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2.成交供应商不得将采购人提供的有关资料及工作成果通过任何方式向第三方透露，未经采购人同意，不得向第三方透露，成交供应商实施项目的一切程序都应符合国家安全、保密的有关规定和标准。</w:t>
      </w:r>
    </w:p>
    <w:p w14:paraId="0FE8DBD1">
      <w:pPr>
        <w:pStyle w:val="2"/>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3.成交供应商应保证工作成果质量，因供应商原因造成的系统上传资料不完整或相关情况说明有误，实行经济惩戒。</w:t>
      </w:r>
    </w:p>
    <w:p w14:paraId="508B8883">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（二）售后服务方案</w:t>
      </w:r>
    </w:p>
    <w:p w14:paraId="69EF6DDD">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投标人的服务承诺应按不低于招标文件中提出的所有服务要求的标准做出响应。其基本要求如下:</w:t>
      </w:r>
    </w:p>
    <w:p w14:paraId="148F14D2">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1.提供详细的服务方案，包含项目建设与运行管理、人员配置与培训、项目实施进度、重大问题处置流程、服务质量保障等内容</w:t>
      </w:r>
    </w:p>
    <w:p w14:paraId="17441726">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2.运维保障要求供应商在服务期内应当为采购人提供的技术支持和服务</w:t>
      </w:r>
    </w:p>
    <w:p w14:paraId="109E77AB">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(1)电话咨询：供应商应当为采购人提供技术援助电话，解答采购人在使用中遇到的问题，及时为采购人提出解决问题的建议。</w:t>
      </w:r>
    </w:p>
    <w:p w14:paraId="6074DFA0">
      <w:pPr>
        <w:ind w:firstLine="480" w:firstLineChars="200"/>
        <w:rPr>
          <w:rFonts w:hint="eastAsia"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(2)现场响应：采购人遇到使用及技术问题，电话咨询不能解决的，供应商应在2小时内到达现场进行处理;无法现场解决的，应提供备用产品，使采购人能够正常使用。</w:t>
      </w:r>
    </w:p>
    <w:p w14:paraId="444D3414">
      <w:pPr>
        <w:ind w:firstLine="480" w:firstLineChars="200"/>
        <w:rPr>
          <w:rFonts w:hint="default" w:ascii="方正仿宋_GBK" w:hAnsi="方正仿宋_GBK" w:eastAsia="方正仿宋_GBK" w:cs="方正仿宋_GBK"/>
          <w:kern w:val="2"/>
          <w:sz w:val="24"/>
          <w:szCs w:val="24"/>
          <w:rtl w:val="0"/>
          <w:lang w:val="en-US" w:eastAsia="zh-CN" w:bidi="ar-SA"/>
        </w:rPr>
      </w:pPr>
      <w:r>
        <w:rPr>
          <w:rFonts w:hint="eastAsia" w:ascii="方正仿宋_GBK" w:hAnsi="方正仿宋_GBK" w:eastAsia="方正仿宋_GBK" w:cs="方正仿宋_GBK"/>
          <w:kern w:val="2"/>
          <w:sz w:val="24"/>
          <w:szCs w:val="24"/>
          <w:rtl w:val="0"/>
          <w:lang w:val="en-US" w:eastAsia="zh-CN" w:bidi="ar-SA"/>
        </w:rPr>
        <w:t>3.超出维保期，费用不得超过中标额的7%，签暑维保合同。</w:t>
      </w:r>
    </w:p>
    <w:p w14:paraId="02064AF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七、培训</w:t>
      </w:r>
    </w:p>
    <w:p w14:paraId="2D1E8E47">
      <w:pPr>
        <w:ind w:firstLine="464" w:firstLineChars="200"/>
        <w:rPr>
          <w:rFonts w:hint="eastAsia" w:ascii="宋体" w:hAnsi="宋体" w:eastAsia="黑体" w:cs="宋体"/>
          <w:b/>
          <w:sz w:val="28"/>
          <w:lang w:val="en-US" w:eastAsia="zh-CN"/>
        </w:rPr>
      </w:pPr>
      <w:r>
        <w:rPr>
          <w:rFonts w:hint="eastAsia" w:ascii="方正仿宋_GBK" w:hAnsi="方正仿宋_GBK" w:eastAsia="方正仿宋_GBK" w:cs="方正仿宋_GBK"/>
          <w:spacing w:val="-4"/>
          <w:kern w:val="2"/>
          <w:sz w:val="24"/>
          <w:szCs w:val="24"/>
          <w:rtl w:val="0"/>
          <w:lang w:val="en-US" w:eastAsia="zh-CN" w:bidi="ar-SA"/>
        </w:rPr>
        <w:t>采用线上、下线、集中或一对一培训等方式，确保采购人使用该系统所涉及的科室及人员，熟练操作系统；解决系统简单问题有故障;提供培训跟进服务，达到采购人的操作人员可以培训指导其它人员的能力。</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lang w:val="en-US" w:eastAsia="zh-CN"/>
        </w:rPr>
        <w:t>付款方式</w:t>
      </w:r>
      <w:bookmarkEnd w:id="11"/>
      <w:bookmarkEnd w:id="12"/>
      <w:bookmarkEnd w:id="13"/>
      <w:bookmarkEnd w:id="14"/>
    </w:p>
    <w:p w14:paraId="2E64B371">
      <w:pPr>
        <w:ind w:firstLine="464" w:firstLineChars="200"/>
        <w:rPr>
          <w:rFonts w:hint="eastAsia" w:ascii="方正仿宋_GBK" w:hAnsi="方正仿宋_GBK" w:eastAsia="方正仿宋_GBK" w:cs="方正仿宋_GBK"/>
          <w:spacing w:val="-4"/>
          <w:kern w:val="2"/>
          <w:sz w:val="24"/>
          <w:szCs w:val="24"/>
          <w:rtl w:val="0"/>
          <w:lang w:val="en-US" w:eastAsia="zh-CN" w:bidi="ar-SA"/>
        </w:rPr>
      </w:pPr>
      <w:bookmarkStart w:id="15" w:name="_Toc3963"/>
      <w:bookmarkStart w:id="16" w:name="_Toc433726028"/>
      <w:bookmarkStart w:id="17" w:name="_Toc416792607"/>
      <w:bookmarkStart w:id="18" w:name="_Toc464637624"/>
      <w:r>
        <w:rPr>
          <w:rFonts w:hint="eastAsia" w:ascii="方正仿宋_GBK" w:hAnsi="方正仿宋_GBK" w:eastAsia="方正仿宋_GBK" w:cs="方正仿宋_GBK"/>
          <w:spacing w:val="-4"/>
          <w:kern w:val="2"/>
          <w:sz w:val="24"/>
          <w:szCs w:val="24"/>
          <w:rtl w:val="0"/>
          <w:lang w:val="en-US" w:eastAsia="zh-CN" w:bidi="ar-SA"/>
        </w:rPr>
        <w:t>项目验收合格后，30个工作日内公对公转账支付至合同款的90%，合同签订日起一年后支付至合同款的100%。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pacing w:val="-4"/>
          <w:sz w:val="24"/>
          <w:szCs w:val="24"/>
        </w:rPr>
        <w:t>采购人在中华人民共和国境内使用响应供应商提供的货物及服务时免</w:t>
      </w:r>
      <w:r>
        <w:rPr>
          <w:rFonts w:hint="eastAsia" w:ascii="方正仿宋_GBK" w:hAnsi="方正仿宋_GBK" w:eastAsia="方正仿宋_GBK" w:cs="方正仿宋_GBK"/>
          <w:spacing w:val="10"/>
          <w:sz w:val="24"/>
          <w:szCs w:val="24"/>
        </w:rPr>
        <w:t xml:space="preserve"> </w:t>
      </w:r>
      <w:r>
        <w:rPr>
          <w:rFonts w:hint="eastAsia" w:ascii="方正仿宋_GBK" w:hAnsi="方正仿宋_GBK" w:eastAsia="方正仿宋_GBK" w:cs="方正仿宋_GBK"/>
          <w:spacing w:val="-11"/>
          <w:sz w:val="24"/>
          <w:szCs w:val="24"/>
        </w:rPr>
        <w:t>受</w:t>
      </w:r>
      <w:r>
        <w:rPr>
          <w:rFonts w:hint="eastAsia" w:ascii="方正仿宋_GBK" w:hAnsi="方正仿宋_GBK" w:eastAsia="方正仿宋_GBK" w:cs="方正仿宋_GBK"/>
          <w:spacing w:val="-10"/>
          <w:sz w:val="24"/>
          <w:szCs w:val="24"/>
        </w:rPr>
        <w:t>第三方提出的侵犯其专利权或其它知识产权的</w:t>
      </w:r>
      <w:r>
        <w:rPr>
          <w:rFonts w:hint="eastAsia" w:ascii="方正仿宋_GBK" w:hAnsi="方正仿宋_GBK" w:eastAsia="方正仿宋_GBK" w:cs="方正仿宋_GBK"/>
          <w:spacing w:val="-11"/>
          <w:sz w:val="24"/>
          <w:szCs w:val="24"/>
        </w:rPr>
        <w:t>起诉。如果第三方提出侵</w:t>
      </w:r>
      <w:r>
        <w:rPr>
          <w:rFonts w:hint="eastAsia" w:ascii="方正仿宋_GBK" w:hAnsi="方正仿宋_GBK" w:eastAsia="方正仿宋_GBK" w:cs="方正仿宋_GBK"/>
          <w:spacing w:val="-10"/>
          <w:sz w:val="24"/>
          <w:szCs w:val="24"/>
        </w:rPr>
        <w:t>权</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1"/>
          <w:sz w:val="24"/>
          <w:szCs w:val="24"/>
        </w:rPr>
        <w:t>指控，成交供应商应承担由此而引起的一切法律责任和费用。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2、递交截止时间2026年5月11日11</w:t>
      </w:r>
      <w:bookmarkStart w:id="26" w:name="_GoBack"/>
      <w:bookmarkEnd w:id="26"/>
      <w:r>
        <w:rPr>
          <w:rFonts w:hint="eastAsia" w:ascii="方正仿宋_GBK" w:hAnsi="方正仿宋_GBK" w:eastAsia="方正仿宋_GBK" w:cs="方正仿宋_GBK"/>
          <w:sz w:val="24"/>
          <w:szCs w:val="24"/>
          <w:lang w:val="en-US" w:eastAsia="zh-CN"/>
        </w:rPr>
        <w:t>：00（北京时间）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十二</w:t>
      </w:r>
      <w:r>
        <w:rPr>
          <w:rFonts w:hint="eastAsia" w:ascii="宋体" w:hAnsi="宋体" w:eastAsia="黑体" w:cs="宋体"/>
          <w:b/>
          <w:sz w:val="28"/>
        </w:rPr>
        <w:t>、</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19"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19"/>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0"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CE3E8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BD224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0DD243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3C1E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0FBADF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F559827">
      <w:pPr>
        <w:pStyle w:val="2"/>
        <w:rPr>
          <w:rFonts w:hint="eastAsia" w:ascii="宋体" w:hAnsi="宋体" w:eastAsia="黑体" w:cs="宋体"/>
          <w:b/>
          <w:sz w:val="30"/>
          <w:szCs w:val="28"/>
        </w:rPr>
      </w:pPr>
    </w:p>
    <w:p w14:paraId="1C5AC26B">
      <w:pPr>
        <w:rPr>
          <w:rFonts w:hint="eastAsia" w:ascii="宋体" w:hAnsi="宋体" w:eastAsia="黑体" w:cs="宋体"/>
          <w:b/>
          <w:sz w:val="30"/>
          <w:szCs w:val="28"/>
        </w:rPr>
      </w:pPr>
    </w:p>
    <w:p w14:paraId="2D7C312D">
      <w:pPr>
        <w:pStyle w:val="2"/>
        <w:rPr>
          <w:rFonts w:hint="eastAsia"/>
        </w:rPr>
      </w:pPr>
    </w:p>
    <w:p w14:paraId="0C31A05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4BF1D714">
      <w:pPr>
        <w:rPr>
          <w:rFonts w:hint="eastAsia" w:ascii="方正仿宋_GBK" w:hAnsi="方正仿宋_GBK" w:eastAsia="方正仿宋_GBK" w:cs="方正仿宋_GBK"/>
          <w:b/>
          <w:sz w:val="24"/>
          <w:szCs w:val="24"/>
          <w:lang w:val="en-US" w:eastAsia="zh-CN"/>
        </w:rPr>
      </w:pPr>
    </w:p>
    <w:p w14:paraId="5794BB76">
      <w:pPr>
        <w:rPr>
          <w:rFonts w:hint="eastAsia" w:ascii="方正仿宋_GBK" w:hAnsi="方正仿宋_GBK" w:eastAsia="方正仿宋_GBK" w:cs="方正仿宋_GBK"/>
          <w:b/>
          <w:sz w:val="24"/>
          <w:szCs w:val="24"/>
          <w:lang w:val="en-US" w:eastAsia="zh-CN"/>
        </w:rPr>
      </w:pPr>
    </w:p>
    <w:p w14:paraId="3095F848">
      <w:pPr>
        <w:rPr>
          <w:rFonts w:hint="eastAsia" w:ascii="方正仿宋_GBK" w:hAnsi="方正仿宋_GBK" w:eastAsia="方正仿宋_GBK" w:cs="方正仿宋_GBK"/>
          <w:b/>
          <w:sz w:val="24"/>
          <w:szCs w:val="24"/>
          <w:lang w:val="en-US" w:eastAsia="zh-CN"/>
        </w:rPr>
      </w:pPr>
    </w:p>
    <w:p w14:paraId="69134B44">
      <w:pPr>
        <w:rPr>
          <w:rFonts w:hint="eastAsia" w:ascii="方正仿宋_GBK" w:hAnsi="方正仿宋_GBK" w:eastAsia="方正仿宋_GBK" w:cs="方正仿宋_GBK"/>
          <w:b/>
          <w:sz w:val="24"/>
          <w:szCs w:val="24"/>
          <w:lang w:val="en-US" w:eastAsia="zh-CN"/>
        </w:rPr>
      </w:pPr>
    </w:p>
    <w:p w14:paraId="0C3B80B9">
      <w:pPr>
        <w:rPr>
          <w:rFonts w:hint="eastAsia" w:ascii="方正仿宋_GBK" w:hAnsi="方正仿宋_GBK" w:eastAsia="方正仿宋_GBK" w:cs="方正仿宋_GBK"/>
          <w:b/>
          <w:sz w:val="24"/>
          <w:szCs w:val="24"/>
          <w:lang w:val="en-US" w:eastAsia="zh-CN"/>
        </w:rPr>
      </w:pPr>
    </w:p>
    <w:p w14:paraId="00D6102B">
      <w:pPr>
        <w:rPr>
          <w:rFonts w:hint="eastAsia" w:ascii="方正仿宋_GBK" w:hAnsi="方正仿宋_GBK" w:eastAsia="方正仿宋_GBK" w:cs="方正仿宋_GBK"/>
          <w:b/>
          <w:sz w:val="24"/>
          <w:szCs w:val="24"/>
          <w:lang w:val="en-US" w:eastAsia="zh-CN"/>
        </w:rPr>
      </w:pPr>
    </w:p>
    <w:p w14:paraId="64D15AFC">
      <w:pPr>
        <w:rPr>
          <w:rFonts w:hint="eastAsia" w:ascii="方正仿宋_GBK" w:hAnsi="方正仿宋_GBK" w:eastAsia="方正仿宋_GBK" w:cs="方正仿宋_GBK"/>
          <w:b/>
          <w:sz w:val="24"/>
          <w:szCs w:val="24"/>
          <w:lang w:val="en-US" w:eastAsia="zh-CN"/>
        </w:rPr>
      </w:pPr>
    </w:p>
    <w:p w14:paraId="186421E0">
      <w:pPr>
        <w:rPr>
          <w:rFonts w:hint="eastAsia" w:ascii="方正仿宋_GBK" w:hAnsi="方正仿宋_GBK" w:eastAsia="方正仿宋_GBK" w:cs="方正仿宋_GBK"/>
          <w:b/>
          <w:sz w:val="24"/>
          <w:szCs w:val="24"/>
          <w:lang w:val="en-US" w:eastAsia="zh-CN"/>
        </w:rPr>
      </w:pPr>
    </w:p>
    <w:p w14:paraId="79BBFBF0">
      <w:pPr>
        <w:rPr>
          <w:rFonts w:hint="eastAsia" w:ascii="方正仿宋_GBK" w:hAnsi="方正仿宋_GBK" w:eastAsia="方正仿宋_GBK" w:cs="方正仿宋_GBK"/>
          <w:b/>
          <w:sz w:val="24"/>
          <w:szCs w:val="24"/>
          <w:lang w:val="en-US" w:eastAsia="zh-CN"/>
        </w:rPr>
      </w:pPr>
    </w:p>
    <w:p w14:paraId="3CFAF453">
      <w:pPr>
        <w:rPr>
          <w:rFonts w:hint="eastAsia" w:ascii="方正仿宋_GBK" w:hAnsi="方正仿宋_GBK" w:eastAsia="方正仿宋_GBK" w:cs="方正仿宋_GBK"/>
          <w:b/>
          <w:sz w:val="24"/>
          <w:szCs w:val="24"/>
          <w:lang w:val="en-US" w:eastAsia="zh-CN"/>
        </w:rPr>
      </w:pPr>
    </w:p>
    <w:p w14:paraId="70A26C93">
      <w:pPr>
        <w:rPr>
          <w:rFonts w:hint="eastAsia" w:ascii="方正仿宋_GBK" w:hAnsi="方正仿宋_GBK" w:eastAsia="方正仿宋_GBK" w:cs="方正仿宋_GBK"/>
          <w:b/>
          <w:sz w:val="24"/>
          <w:szCs w:val="24"/>
          <w:lang w:val="en-US" w:eastAsia="zh-CN"/>
        </w:rPr>
      </w:pPr>
    </w:p>
    <w:p w14:paraId="06D0763D">
      <w:pPr>
        <w:rPr>
          <w:rFonts w:hint="eastAsia" w:ascii="方正仿宋_GBK" w:hAnsi="方正仿宋_GBK" w:eastAsia="方正仿宋_GBK" w:cs="方正仿宋_GBK"/>
          <w:b/>
          <w:sz w:val="24"/>
          <w:szCs w:val="24"/>
          <w:lang w:val="en-US" w:eastAsia="zh-CN"/>
        </w:rPr>
      </w:pPr>
    </w:p>
    <w:p w14:paraId="03924E4A">
      <w:pPr>
        <w:rPr>
          <w:rFonts w:hint="eastAsia" w:ascii="方正仿宋_GBK" w:hAnsi="方正仿宋_GBK" w:eastAsia="方正仿宋_GBK" w:cs="方正仿宋_GBK"/>
          <w:b/>
          <w:sz w:val="24"/>
          <w:szCs w:val="24"/>
          <w:lang w:val="en-US" w:eastAsia="zh-CN"/>
        </w:rPr>
      </w:pPr>
    </w:p>
    <w:p w14:paraId="36546CA5">
      <w:pPr>
        <w:rPr>
          <w:rFonts w:hint="eastAsia" w:ascii="方正仿宋_GBK" w:hAnsi="方正仿宋_GBK" w:eastAsia="方正仿宋_GBK" w:cs="方正仿宋_GBK"/>
          <w:b/>
          <w:sz w:val="24"/>
          <w:szCs w:val="24"/>
          <w:lang w:val="en-US" w:eastAsia="zh-CN"/>
        </w:rPr>
      </w:pPr>
    </w:p>
    <w:p w14:paraId="59E9DC71">
      <w:pPr>
        <w:rPr>
          <w:rFonts w:hint="eastAsia" w:ascii="方正仿宋_GBK" w:hAnsi="方正仿宋_GBK" w:eastAsia="方正仿宋_GBK" w:cs="方正仿宋_GBK"/>
          <w:b/>
          <w:sz w:val="24"/>
          <w:szCs w:val="24"/>
          <w:lang w:val="en-US" w:eastAsia="zh-CN"/>
        </w:rPr>
      </w:pPr>
    </w:p>
    <w:p w14:paraId="602920C7">
      <w:pPr>
        <w:rPr>
          <w:rFonts w:hint="eastAsia" w:ascii="方正仿宋_GBK" w:hAnsi="方正仿宋_GBK" w:eastAsia="方正仿宋_GBK" w:cs="方正仿宋_GBK"/>
          <w:b/>
          <w:sz w:val="24"/>
          <w:szCs w:val="24"/>
          <w:lang w:val="en-US" w:eastAsia="zh-CN"/>
        </w:rPr>
      </w:pPr>
    </w:p>
    <w:p w14:paraId="4BFA4E0E">
      <w:pPr>
        <w:rPr>
          <w:rFonts w:hint="eastAsia" w:ascii="方正仿宋_GBK" w:hAnsi="方正仿宋_GBK" w:eastAsia="方正仿宋_GBK" w:cs="方正仿宋_GBK"/>
          <w:b/>
          <w:sz w:val="24"/>
          <w:szCs w:val="24"/>
          <w:lang w:val="en-US" w:eastAsia="zh-CN"/>
        </w:rPr>
      </w:pPr>
    </w:p>
    <w:p w14:paraId="18E066A1">
      <w:pPr>
        <w:rPr>
          <w:rFonts w:hint="eastAsia" w:ascii="方正仿宋_GBK" w:hAnsi="方正仿宋_GBK" w:eastAsia="方正仿宋_GBK" w:cs="方正仿宋_GBK"/>
          <w:b/>
          <w:sz w:val="24"/>
          <w:szCs w:val="24"/>
          <w:lang w:val="en-US" w:eastAsia="zh-CN"/>
        </w:rPr>
      </w:pPr>
    </w:p>
    <w:p w14:paraId="14587E8E">
      <w:pPr>
        <w:rPr>
          <w:rFonts w:hint="eastAsia" w:ascii="方正仿宋_GBK" w:hAnsi="方正仿宋_GBK" w:eastAsia="方正仿宋_GBK" w:cs="方正仿宋_GBK"/>
          <w:b/>
          <w:sz w:val="24"/>
          <w:szCs w:val="24"/>
          <w:lang w:val="en-US" w:eastAsia="zh-CN"/>
        </w:rPr>
      </w:pP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0"/>
    <w:p w14:paraId="2A1138C2">
      <w:pPr>
        <w:tabs>
          <w:tab w:val="left" w:pos="6300"/>
        </w:tabs>
        <w:snapToGrid w:val="0"/>
        <w:rPr>
          <w:rFonts w:ascii="方正仿宋_GBK" w:hAnsi="方正仿宋_GBK" w:eastAsia="方正仿宋_GBK" w:cs="方正仿宋_GBK"/>
          <w:b/>
          <w:sz w:val="24"/>
          <w:szCs w:val="24"/>
        </w:rPr>
      </w:pPr>
      <w:bookmarkStart w:id="21" w:name="_Toc9726"/>
      <w:bookmarkStart w:id="22" w:name="_Toc477027621"/>
      <w:bookmarkStart w:id="23"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1"/>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4"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4"/>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5"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5"/>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2"/>
    <w:bookmarkEnd w:id="23"/>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569C"/>
    <w:multiLevelType w:val="singleLevel"/>
    <w:tmpl w:val="A3A0569C"/>
    <w:lvl w:ilvl="0" w:tentative="0">
      <w:start w:val="6"/>
      <w:numFmt w:val="chineseCounting"/>
      <w:suff w:val="nothing"/>
      <w:lvlText w:val="%1、"/>
      <w:lvlJc w:val="left"/>
      <w:rPr>
        <w:rFonts w:hint="eastAsia"/>
      </w:rPr>
    </w:lvl>
  </w:abstractNum>
  <w:abstractNum w:abstractNumId="1">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6F257F"/>
    <w:rsid w:val="0D592931"/>
    <w:rsid w:val="0E774B37"/>
    <w:rsid w:val="0EDB66DD"/>
    <w:rsid w:val="0F156FF2"/>
    <w:rsid w:val="0F916572"/>
    <w:rsid w:val="105C0433"/>
    <w:rsid w:val="123D05AB"/>
    <w:rsid w:val="12EE078C"/>
    <w:rsid w:val="13857CA0"/>
    <w:rsid w:val="14030067"/>
    <w:rsid w:val="14795A57"/>
    <w:rsid w:val="15272619"/>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B97B7D"/>
    <w:rsid w:val="27070CA1"/>
    <w:rsid w:val="270F3FF9"/>
    <w:rsid w:val="28077B81"/>
    <w:rsid w:val="28321D4D"/>
    <w:rsid w:val="293F3BD0"/>
    <w:rsid w:val="2A344B97"/>
    <w:rsid w:val="2ADB5CCE"/>
    <w:rsid w:val="2B3247EE"/>
    <w:rsid w:val="2CAC08A7"/>
    <w:rsid w:val="2D895D2D"/>
    <w:rsid w:val="2DA41B2C"/>
    <w:rsid w:val="2E505C0F"/>
    <w:rsid w:val="2E8452CD"/>
    <w:rsid w:val="2ED44778"/>
    <w:rsid w:val="309D4424"/>
    <w:rsid w:val="31280191"/>
    <w:rsid w:val="31C808B4"/>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C3E42DF"/>
    <w:rsid w:val="4D155616"/>
    <w:rsid w:val="4DDD0570"/>
    <w:rsid w:val="4DFC79FB"/>
    <w:rsid w:val="4E3450A1"/>
    <w:rsid w:val="50897E60"/>
    <w:rsid w:val="50D5061B"/>
    <w:rsid w:val="519A3A0B"/>
    <w:rsid w:val="52640910"/>
    <w:rsid w:val="532479B4"/>
    <w:rsid w:val="53CF09E6"/>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79F2A2E"/>
    <w:rsid w:val="67EC4D0C"/>
    <w:rsid w:val="67FB1A94"/>
    <w:rsid w:val="684014B1"/>
    <w:rsid w:val="68DE65B8"/>
    <w:rsid w:val="699D49E1"/>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55402D"/>
    <w:rsid w:val="76714C77"/>
    <w:rsid w:val="7852034C"/>
    <w:rsid w:val="78A8232B"/>
    <w:rsid w:val="79497752"/>
    <w:rsid w:val="795861E7"/>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4336</Words>
  <Characters>4561</Characters>
  <Lines>159</Lines>
  <Paragraphs>45</Paragraphs>
  <TotalTime>1</TotalTime>
  <ScaleCrop>false</ScaleCrop>
  <LinksUpToDate>false</LinksUpToDate>
  <CharactersWithSpaces>5795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2026-05-06T07:58:57Z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