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2026年美康合理用药软件维护</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5</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2026年美康合理用药软件维护</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40000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33726022"/>
      <w:bookmarkStart w:id="1" w:name="_Toc26735"/>
      <w:bookmarkStart w:id="2" w:name="_Toc416792603"/>
      <w:bookmarkStart w:id="3" w:name="_Toc464637619"/>
      <w:bookmarkStart w:id="4" w:name="_Toc267320049"/>
      <w:bookmarkStart w:id="5" w:name="_Toc514962183"/>
      <w:bookmarkStart w:id="6" w:name="_Toc23014"/>
    </w:p>
    <w:p w14:paraId="572D39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1.</w:t>
      </w:r>
      <w:r>
        <w:rPr>
          <w:rFonts w:hint="default" w:ascii="仿宋" w:eastAsia="仿宋" w:cs="仿宋"/>
          <w:sz w:val="24"/>
          <w:szCs w:val="24"/>
          <w:rtl w:val="0"/>
          <w:lang w:val="en-US" w:eastAsia="zh-CN"/>
        </w:rPr>
        <w:t>协助</w:t>
      </w:r>
      <w:r>
        <w:rPr>
          <w:rFonts w:hint="eastAsia" w:ascii="仿宋" w:eastAsia="仿宋" w:cs="仿宋"/>
          <w:sz w:val="24"/>
          <w:szCs w:val="24"/>
          <w:rtl w:val="0"/>
          <w:lang w:val="en-US" w:eastAsia="zh-CN"/>
        </w:rPr>
        <w:t>采购方</w:t>
      </w:r>
      <w:r>
        <w:rPr>
          <w:rFonts w:hint="default" w:ascii="仿宋" w:eastAsia="仿宋" w:cs="仿宋"/>
          <w:sz w:val="24"/>
          <w:szCs w:val="24"/>
          <w:rtl w:val="0"/>
          <w:lang w:val="en-US" w:eastAsia="zh-CN"/>
        </w:rPr>
        <w:t>进行“药品配对”和“给药途径配对”服务。</w:t>
      </w:r>
      <w:r>
        <w:rPr>
          <w:rFonts w:hint="eastAsia" w:ascii="仿宋" w:eastAsia="仿宋" w:cs="仿宋"/>
          <w:sz w:val="24"/>
          <w:szCs w:val="24"/>
          <w:rtl w:val="0"/>
          <w:lang w:val="en-US" w:eastAsia="zh-CN"/>
        </w:rPr>
        <w:t>采购方</w:t>
      </w:r>
      <w:r>
        <w:rPr>
          <w:rFonts w:hint="default" w:ascii="仿宋" w:eastAsia="仿宋" w:cs="仿宋"/>
          <w:sz w:val="24"/>
          <w:szCs w:val="24"/>
          <w:rtl w:val="0"/>
          <w:lang w:val="en-US" w:eastAsia="zh-CN"/>
        </w:rPr>
        <w:t>应负责协调配合，并指定医药专业人员负责数据配对及数据的审核、补遗工作以及药品名称和给药途径的后续日常更新及维护工作。</w:t>
      </w:r>
    </w:p>
    <w:p w14:paraId="41F2B3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2.数据与程序更新</w:t>
      </w:r>
    </w:p>
    <w:p w14:paraId="214910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（1）药品知识库更新：说明书、适应症、禁忌症、用法用量、医保目录等；</w:t>
      </w:r>
    </w:p>
    <w:p w14:paraId="3FCBB6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（2）PASS、PASS PharmAssist：不少于2次 / 年；</w:t>
      </w:r>
    </w:p>
    <w:p w14:paraId="0A4DCC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（3）MCDEX NET：不少于10次 / 年；</w:t>
      </w:r>
    </w:p>
    <w:p w14:paraId="7571B4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（4）程序版本更新：Bug修复、功能升级、安全补丁等；</w:t>
      </w:r>
    </w:p>
    <w:p w14:paraId="162E28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（5）数据维护：备份、清理、纠错、迁移等。</w:t>
      </w:r>
    </w:p>
    <w:p w14:paraId="5FA26C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3.培训与文档</w:t>
      </w:r>
    </w:p>
    <w:p w14:paraId="558FD1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（1）用户培训：新员工、年度进阶、操作手册等；</w:t>
      </w:r>
    </w:p>
    <w:p w14:paraId="18B4AF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（2）运维文档：年度维保报告、问题记录、更新日志等。</w:t>
      </w:r>
    </w:p>
    <w:p w14:paraId="6CD164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4.专项服务</w:t>
      </w:r>
    </w:p>
    <w:p w14:paraId="748432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eastAsia="仿宋" w:cs="仿宋"/>
          <w:sz w:val="24"/>
          <w:szCs w:val="24"/>
          <w:rtl w:val="0"/>
          <w:lang w:val="en-US" w:eastAsia="zh-CN"/>
        </w:rPr>
      </w:pPr>
      <w:r>
        <w:rPr>
          <w:rFonts w:hint="eastAsia" w:ascii="方正仿宋_GBK" w:hAnsi="宋体" w:eastAsia="方正仿宋_GBK" w:cs="Times New Roman"/>
          <w:sz w:val="24"/>
          <w:lang w:val="en-US" w:eastAsia="zh-CN"/>
        </w:rPr>
        <w:t>抗菌药物/抗肿瘤/特殊药品管控规则更新、统计报表定制、接口对接维护、应急演练等。</w:t>
      </w:r>
    </w:p>
    <w:p w14:paraId="19C9C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 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服务时间、地点及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（一）服务时间</w:t>
      </w:r>
    </w:p>
    <w:p w14:paraId="339F1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合同签订之日起1年。</w:t>
      </w:r>
    </w:p>
    <w:p w14:paraId="31D9DD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（二）地点</w:t>
      </w:r>
    </w:p>
    <w:p w14:paraId="43529A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方正仿宋_GBK" w:hAnsi="宋体" w:eastAsia="方正仿宋_GBK" w:cs="Times New Roman"/>
          <w:sz w:val="24"/>
          <w:lang w:val="en-US" w:eastAsia="zh-CN"/>
        </w:rPr>
        <w:t>陈家桥医院信息科指定地点</w:t>
      </w:r>
      <w:r>
        <w:rPr>
          <w:rFonts w:hint="eastAsia" w:ascii="仿宋" w:eastAsia="仿宋" w:cs="仿宋"/>
          <w:sz w:val="24"/>
          <w:szCs w:val="24"/>
          <w:rtl w:val="0"/>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33726023"/>
      <w:bookmarkStart w:id="8" w:name="_Toc464637620"/>
      <w:bookmarkStart w:id="9" w:name="_Toc19132"/>
      <w:bookmarkStart w:id="10" w:name="_Toc267320050"/>
      <w:r>
        <w:rPr>
          <w:rFonts w:hint="eastAsia" w:ascii="仿宋" w:eastAsia="仿宋" w:cs="仿宋"/>
          <w:sz w:val="24"/>
          <w:szCs w:val="24"/>
          <w:rtl w:val="0"/>
          <w:lang w:val="en-US" w:eastAsia="zh-CN"/>
        </w:rPr>
        <w:t>（三）验收方式：</w:t>
      </w:r>
    </w:p>
    <w:p w14:paraId="000AD8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87" w:firstLineChars="328"/>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1.成交供应商应提供完备的维保资料，并派遣专业技术人员进行现场维保。验收合格条件如下：</w:t>
      </w:r>
      <w:r>
        <w:rPr>
          <w:rFonts w:hint="eastAsia" w:ascii="仿宋" w:eastAsia="仿宋" w:cs="仿宋"/>
          <w:sz w:val="24"/>
          <w:szCs w:val="24"/>
          <w:rtl w:val="0"/>
          <w:lang w:val="en-US" w:eastAsia="zh-CN"/>
        </w:rPr>
        <w:br w:type="textWrapping"/>
      </w:r>
      <w:r>
        <w:rPr>
          <w:rFonts w:hint="eastAsia" w:ascii="仿宋" w:eastAsia="仿宋" w:cs="仿宋"/>
          <w:sz w:val="24"/>
          <w:szCs w:val="24"/>
          <w:rtl w:val="0"/>
          <w:lang w:val="en-US" w:eastAsia="zh-CN"/>
        </w:rPr>
        <w:t xml:space="preserve">    （1）维保内容与采购合同一致，性能指标达到规定的标准。</w:t>
      </w:r>
      <w:r>
        <w:rPr>
          <w:rFonts w:hint="eastAsia" w:ascii="仿宋" w:eastAsia="仿宋" w:cs="仿宋"/>
          <w:sz w:val="24"/>
          <w:szCs w:val="24"/>
          <w:rtl w:val="0"/>
          <w:lang w:val="en-US" w:eastAsia="zh-CN"/>
        </w:rPr>
        <w:br w:type="textWrapping"/>
      </w:r>
      <w:r>
        <w:rPr>
          <w:rFonts w:hint="eastAsia" w:ascii="仿宋" w:eastAsia="仿宋" w:cs="仿宋"/>
          <w:sz w:val="24"/>
          <w:szCs w:val="24"/>
          <w:rtl w:val="0"/>
          <w:lang w:val="en-US" w:eastAsia="zh-CN"/>
        </w:rPr>
        <w:t xml:space="preserve">    （2）维保服务资料齐全。提供完备的维保记录资料。</w:t>
      </w:r>
      <w:r>
        <w:rPr>
          <w:rFonts w:hint="eastAsia" w:ascii="仿宋" w:eastAsia="仿宋" w:cs="仿宋"/>
          <w:sz w:val="24"/>
          <w:szCs w:val="24"/>
          <w:rtl w:val="0"/>
          <w:lang w:val="en-US" w:eastAsia="zh-CN"/>
        </w:rPr>
        <w:br w:type="textWrapping"/>
      </w:r>
      <w:r>
        <w:rPr>
          <w:rFonts w:hint="eastAsia" w:ascii="仿宋" w:eastAsia="仿宋" w:cs="仿宋"/>
          <w:sz w:val="24"/>
          <w:szCs w:val="24"/>
          <w:rtl w:val="0"/>
          <w:lang w:val="en-US" w:eastAsia="zh-CN"/>
        </w:rPr>
        <w:t xml:space="preserve">    （3）在期间所出现的问题得到解决，并运行正常。</w:t>
      </w:r>
      <w:r>
        <w:rPr>
          <w:rFonts w:hint="eastAsia" w:ascii="仿宋" w:eastAsia="仿宋" w:cs="仿宋"/>
          <w:sz w:val="24"/>
          <w:szCs w:val="24"/>
          <w:rtl w:val="0"/>
          <w:lang w:val="en-US" w:eastAsia="zh-CN"/>
        </w:rPr>
        <w:br w:type="textWrapping"/>
      </w:r>
      <w:r>
        <w:rPr>
          <w:rFonts w:hint="eastAsia" w:ascii="仿宋" w:eastAsia="仿宋" w:cs="仿宋"/>
          <w:sz w:val="24"/>
          <w:szCs w:val="24"/>
          <w:rtl w:val="0"/>
          <w:lang w:val="en-US" w:eastAsia="zh-CN"/>
        </w:rPr>
        <w:t xml:space="preserve">    （4）在规定时间内完成维保服务，并经甲方单位确认。</w:t>
      </w:r>
    </w:p>
    <w:p w14:paraId="7A3F93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（5）维保服务时间达到半年，且无重大影响单位运行问题，供应商可提交验收申请，经甲方批准后组织验收。</w:t>
      </w:r>
    </w:p>
    <w:p w14:paraId="43B0A4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成交供应商提供的服务未达到招标文件规定要求，验收未达到合格标准，由成交供应商自行进行整改直至合格，整改所发生的一切费用由成交供应商承担。如对采购人造成损失的，由成交供应商承担一切责任，并赔偿所造成的损失。</w:t>
      </w:r>
    </w:p>
    <w:p w14:paraId="36445E1C">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7E982E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bookmarkStart w:id="11" w:name="_Toc24020"/>
      <w:bookmarkStart w:id="12" w:name="_Toc464637622"/>
      <w:bookmarkStart w:id="13" w:name="_Toc433726026"/>
      <w:bookmarkStart w:id="14" w:name="_Toc267320051"/>
      <w:r>
        <w:rPr>
          <w:rFonts w:hint="eastAsia" w:ascii="仿宋" w:eastAsia="仿宋" w:cs="仿宋"/>
          <w:sz w:val="24"/>
          <w:szCs w:val="24"/>
          <w:rtl w:val="0"/>
          <w:lang w:val="en-US" w:eastAsia="zh-CN"/>
        </w:rPr>
        <w:t>1.报价形式：固定总价包干（含税、人工、差旅、备件、培训、税费等一切费用）。</w:t>
      </w:r>
    </w:p>
    <w:p w14:paraId="34E502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2.报价货币：人民币（元），大小写齐全。</w:t>
      </w:r>
    </w:p>
    <w:p w14:paraId="39727A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3.有效期：自报价截止日起 90 天。</w:t>
      </w:r>
    </w:p>
    <w:p w14:paraId="46114E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4.无效报价：超最高限价、漏项、不满足实质性条款、字迹模糊、未盖章签字。</w:t>
      </w:r>
    </w:p>
    <w:p w14:paraId="77C005C8">
      <w:pPr>
        <w:keepNext/>
        <w:keepLines/>
        <w:widowControl/>
        <w:numPr>
          <w:ilvl w:val="0"/>
          <w:numId w:val="17"/>
        </w:numPr>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质量保证期及售后</w:t>
      </w:r>
    </w:p>
    <w:p w14:paraId="2B84C0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（一）项目验收合格日期起1年。</w:t>
      </w:r>
    </w:p>
    <w:p w14:paraId="1E1E63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1.成交供应商应按照有关标准、规范和采购人的要求开展工作。</w:t>
      </w:r>
    </w:p>
    <w:p w14:paraId="45B6A1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2.成交供应商不得将采购人提供的有关资料及工作成果通过任何方式向第三方透露，未经采购人同意，不得向第三方透露，成交供应商实施项目的一切程序都应符合国家安全、保密的有关规定和标准。</w:t>
      </w:r>
    </w:p>
    <w:p w14:paraId="0FE8DB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3.成交供应商应保证工作成果质量，因供应商原因造成的系统上传资料不完整或相关情况说明有误，实行经济惩戒。</w:t>
      </w:r>
    </w:p>
    <w:p w14:paraId="508B88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（二）售后服务内容</w:t>
      </w:r>
    </w:p>
    <w:p w14:paraId="238FB6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1.供应商为采购方提供美康所有产品7×24 小时远程支持：热线、微信、QQ、远程桌面。</w:t>
      </w:r>
    </w:p>
    <w:p w14:paraId="1F63E5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2.响应时效</w:t>
      </w:r>
    </w:p>
    <w:p w14:paraId="4012C2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2.1.一般故障：15 分钟内响应，4 小时内解决；</w:t>
      </w:r>
    </w:p>
    <w:p w14:paraId="3CD7C5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2.2.重大故障（瘫痪）：3 小时内到场，24 小时内恢复；</w:t>
      </w:r>
    </w:p>
    <w:p w14:paraId="6F777C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2.3.现场服务：年度≥2次现场巡检、故障到场、系统调优；</w:t>
      </w:r>
    </w:p>
    <w:p w14:paraId="364F2E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2.4.专属工程师：固定1名客服工程师对接。</w:t>
      </w:r>
    </w:p>
    <w:p w14:paraId="557EE961">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tl w:val="0"/>
          <w:lang w:val="en-US" w:eastAsia="zh-CN"/>
        </w:rPr>
        <w:t>七、</w:t>
      </w:r>
      <w:r>
        <w:rPr>
          <w:rFonts w:hint="eastAsia" w:ascii="宋体" w:hAnsi="宋体" w:eastAsia="黑体" w:cs="宋体"/>
          <w:b/>
          <w:sz w:val="28"/>
          <w:lang w:val="en-US" w:eastAsia="zh-CN"/>
        </w:rPr>
        <w:t>付款方式</w:t>
      </w:r>
      <w:bookmarkEnd w:id="11"/>
      <w:bookmarkEnd w:id="12"/>
      <w:bookmarkEnd w:id="13"/>
      <w:bookmarkEnd w:id="14"/>
    </w:p>
    <w:p w14:paraId="66717B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bookmarkStart w:id="15" w:name="_Toc3963"/>
      <w:bookmarkStart w:id="16" w:name="_Toc416792607"/>
      <w:bookmarkStart w:id="17" w:name="_Toc433726028"/>
      <w:bookmarkStart w:id="18" w:name="_Toc464637624"/>
      <w:r>
        <w:rPr>
          <w:rFonts w:hint="eastAsia" w:ascii="仿宋" w:eastAsia="仿宋" w:cs="仿宋"/>
          <w:sz w:val="24"/>
          <w:szCs w:val="24"/>
          <w:rtl w:val="0"/>
          <w:lang w:val="en-US" w:eastAsia="zh-CN"/>
        </w:rPr>
        <w:t>本合同签订半年后乙方提供验收合格申请并开具正式发票，甲方收到验收合格申请及发票后30个工作日内支付至服务费的50%；合同签订一年后，乙方提供验收合格申请并开具正式发票，甲方收到验收合格申请及发票后30个工作日内支付至服务费的100%。</w:t>
      </w:r>
    </w:p>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lang w:val="en-US" w:eastAsia="zh-CN"/>
        </w:rPr>
        <w:t>八</w:t>
      </w:r>
      <w:r>
        <w:rPr>
          <w:rFonts w:hint="eastAsia" w:ascii="宋体" w:hAnsi="宋体" w:eastAsia="黑体" w:cs="宋体"/>
          <w:b/>
          <w:sz w:val="28"/>
        </w:rPr>
        <w:t>、</w:t>
      </w:r>
      <w:r>
        <w:rPr>
          <w:rFonts w:hint="eastAsia" w:ascii="宋体" w:hAnsi="宋体" w:eastAsia="黑体" w:cs="宋体"/>
          <w:b/>
          <w:sz w:val="28"/>
          <w:rtl w:val="0"/>
          <w:lang w:val="en-US" w:eastAsia="zh-CN"/>
        </w:rPr>
        <w:t>知识产权</w:t>
      </w:r>
      <w:bookmarkEnd w:id="15"/>
      <w:bookmarkEnd w:id="16"/>
      <w:bookmarkEnd w:id="17"/>
      <w:bookmarkEnd w:id="18"/>
    </w:p>
    <w:p w14:paraId="712EE39F">
      <w:pPr>
        <w:keepNext/>
        <w:keepLines/>
        <w:widowControl/>
        <w:numPr>
          <w:ilvl w:val="0"/>
          <w:numId w:val="0"/>
        </w:numPr>
        <w:adjustRightInd w:val="0"/>
        <w:snapToGrid w:val="0"/>
        <w:spacing w:before="48" w:beforeLines="20" w:after="48" w:afterLines="20"/>
        <w:ind w:firstLine="336" w:firstLineChars="140"/>
        <w:contextualSpacing/>
        <w:jc w:val="left"/>
        <w:outlineLvl w:val="1"/>
        <w:rPr>
          <w:rFonts w:hint="eastAsia" w:ascii="方正仿宋_GBK" w:hAnsi="宋体" w:eastAsia="方正仿宋_GBK" w:cs="Times New Roman"/>
          <w:sz w:val="24"/>
          <w:lang w:val="en-US" w:eastAsia="zh-CN"/>
        </w:rPr>
      </w:pPr>
      <w:bookmarkStart w:id="19" w:name="_Toc464637625"/>
      <w:bookmarkStart w:id="20" w:name="_Toc23473"/>
      <w:bookmarkStart w:id="21" w:name="_Toc416792608"/>
      <w:bookmarkStart w:id="22" w:name="_Toc433726029"/>
      <w:r>
        <w:rPr>
          <w:rFonts w:hint="eastAsia" w:ascii="方正仿宋_GBK" w:hAnsi="宋体" w:eastAsia="方正仿宋_GBK" w:cs="Times New Roman"/>
          <w:sz w:val="24"/>
          <w:lang w:val="en-US" w:eastAsia="zh-CN"/>
        </w:rPr>
        <w:t>供应商保证拥有本合同项下系统完全、充分之所有权，采购人使用合同系统将不会受到任何影响。</w:t>
      </w:r>
      <w:bookmarkEnd w:id="19"/>
      <w:bookmarkEnd w:id="20"/>
      <w:bookmarkEnd w:id="21"/>
      <w:bookmarkEnd w:id="22"/>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1、各投标公司将单位执照复印件及本次询价采购的响应文件完善后盖章，文件统一密封后，在投标截止时间前递交或邮寄至重庆市沙坪坝区陈家桥医院行政办公区采购管理科   姚老师收  电话023-61500030。（注：响应文件封面需注明：项目名称+供应商名称+联系电话+联系人）。</w:t>
      </w:r>
    </w:p>
    <w:p w14:paraId="1284EB6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2、报名截止时间2026年5月1</w:t>
      </w:r>
      <w:bookmarkStart w:id="30" w:name="_GoBack"/>
      <w:bookmarkEnd w:id="30"/>
      <w:r>
        <w:rPr>
          <w:rFonts w:hint="eastAsia" w:ascii="方正仿宋_GBK" w:hAnsi="方正仿宋_GBK" w:eastAsia="方正仿宋_GBK" w:cs="方正仿宋_GBK"/>
          <w:sz w:val="24"/>
          <w:szCs w:val="24"/>
          <w:lang w:val="en-US" w:eastAsia="zh-CN"/>
        </w:rPr>
        <w:t>3日15：00（北京时间）</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十一、</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十二</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3"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3"/>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十三</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4" w:name="_Toc17074"/>
    </w:p>
    <w:p w14:paraId="11E6D8D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A6D3E42">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F0935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BD7E7B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1C825F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5CE3E84">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1BD224C">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0DD243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23C1E6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0FBADF2">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4F559827">
      <w:pPr>
        <w:pStyle w:val="16"/>
        <w:rPr>
          <w:rFonts w:hint="eastAsia" w:ascii="宋体" w:hAnsi="宋体" w:eastAsia="黑体" w:cs="宋体"/>
          <w:b/>
          <w:sz w:val="30"/>
          <w:szCs w:val="28"/>
        </w:rPr>
      </w:pPr>
    </w:p>
    <w:p w14:paraId="1C5AC26B">
      <w:pPr>
        <w:rPr>
          <w:rFonts w:hint="eastAsia" w:ascii="宋体" w:hAnsi="宋体" w:eastAsia="黑体" w:cs="宋体"/>
          <w:b/>
          <w:sz w:val="30"/>
          <w:szCs w:val="28"/>
        </w:rPr>
      </w:pPr>
    </w:p>
    <w:p w14:paraId="2D7C312D">
      <w:pPr>
        <w:pStyle w:val="16"/>
        <w:rPr>
          <w:rFonts w:hint="eastAsia"/>
        </w:rPr>
      </w:pPr>
    </w:p>
    <w:p w14:paraId="0C31A053">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09488300">
      <w:pPr>
        <w:widowControl/>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4BF1D714">
      <w:pPr>
        <w:rPr>
          <w:rFonts w:hint="eastAsia" w:ascii="方正仿宋_GBK" w:hAnsi="方正仿宋_GBK" w:eastAsia="方正仿宋_GBK" w:cs="方正仿宋_GBK"/>
          <w:b/>
          <w:sz w:val="24"/>
          <w:szCs w:val="24"/>
          <w:lang w:val="en-US" w:eastAsia="zh-CN"/>
        </w:rPr>
      </w:pPr>
    </w:p>
    <w:p w14:paraId="5794BB76">
      <w:pPr>
        <w:rPr>
          <w:rFonts w:hint="eastAsia" w:ascii="方正仿宋_GBK" w:hAnsi="方正仿宋_GBK" w:eastAsia="方正仿宋_GBK" w:cs="方正仿宋_GBK"/>
          <w:b/>
          <w:sz w:val="24"/>
          <w:szCs w:val="24"/>
          <w:lang w:val="en-US" w:eastAsia="zh-CN"/>
        </w:rPr>
      </w:pPr>
    </w:p>
    <w:p w14:paraId="3095F848">
      <w:pPr>
        <w:rPr>
          <w:rFonts w:hint="eastAsia" w:ascii="方正仿宋_GBK" w:hAnsi="方正仿宋_GBK" w:eastAsia="方正仿宋_GBK" w:cs="方正仿宋_GBK"/>
          <w:b/>
          <w:sz w:val="24"/>
          <w:szCs w:val="24"/>
          <w:lang w:val="en-US" w:eastAsia="zh-CN"/>
        </w:rPr>
      </w:pPr>
    </w:p>
    <w:p w14:paraId="69134B44">
      <w:pPr>
        <w:rPr>
          <w:rFonts w:hint="eastAsia" w:ascii="方正仿宋_GBK" w:hAnsi="方正仿宋_GBK" w:eastAsia="方正仿宋_GBK" w:cs="方正仿宋_GBK"/>
          <w:b/>
          <w:sz w:val="24"/>
          <w:szCs w:val="24"/>
          <w:lang w:val="en-US" w:eastAsia="zh-CN"/>
        </w:rPr>
      </w:pPr>
    </w:p>
    <w:p w14:paraId="0C3B80B9">
      <w:pPr>
        <w:rPr>
          <w:rFonts w:hint="eastAsia" w:ascii="方正仿宋_GBK" w:hAnsi="方正仿宋_GBK" w:eastAsia="方正仿宋_GBK" w:cs="方正仿宋_GBK"/>
          <w:b/>
          <w:sz w:val="24"/>
          <w:szCs w:val="24"/>
          <w:lang w:val="en-US" w:eastAsia="zh-CN"/>
        </w:rPr>
      </w:pPr>
    </w:p>
    <w:p w14:paraId="00D6102B">
      <w:pPr>
        <w:rPr>
          <w:rFonts w:hint="eastAsia" w:ascii="方正仿宋_GBK" w:hAnsi="方正仿宋_GBK" w:eastAsia="方正仿宋_GBK" w:cs="方正仿宋_GBK"/>
          <w:b/>
          <w:sz w:val="24"/>
          <w:szCs w:val="24"/>
          <w:lang w:val="en-US" w:eastAsia="zh-CN"/>
        </w:rPr>
      </w:pPr>
    </w:p>
    <w:p w14:paraId="64D15AFC">
      <w:pPr>
        <w:rPr>
          <w:rFonts w:hint="eastAsia" w:ascii="方正仿宋_GBK" w:hAnsi="方正仿宋_GBK" w:eastAsia="方正仿宋_GBK" w:cs="方正仿宋_GBK"/>
          <w:b/>
          <w:sz w:val="24"/>
          <w:szCs w:val="24"/>
          <w:lang w:val="en-US" w:eastAsia="zh-CN"/>
        </w:rPr>
      </w:pPr>
    </w:p>
    <w:p w14:paraId="186421E0">
      <w:pPr>
        <w:rPr>
          <w:rFonts w:hint="eastAsia" w:ascii="方正仿宋_GBK" w:hAnsi="方正仿宋_GBK" w:eastAsia="方正仿宋_GBK" w:cs="方正仿宋_GBK"/>
          <w:b/>
          <w:sz w:val="24"/>
          <w:szCs w:val="24"/>
          <w:lang w:val="en-US" w:eastAsia="zh-CN"/>
        </w:rPr>
      </w:pPr>
    </w:p>
    <w:p w14:paraId="79BBFBF0">
      <w:pPr>
        <w:rPr>
          <w:rFonts w:hint="eastAsia" w:ascii="方正仿宋_GBK" w:hAnsi="方正仿宋_GBK" w:eastAsia="方正仿宋_GBK" w:cs="方正仿宋_GBK"/>
          <w:b/>
          <w:sz w:val="24"/>
          <w:szCs w:val="24"/>
          <w:lang w:val="en-US" w:eastAsia="zh-CN"/>
        </w:rPr>
      </w:pPr>
    </w:p>
    <w:p w14:paraId="3CFAF453">
      <w:pPr>
        <w:rPr>
          <w:rFonts w:hint="eastAsia" w:ascii="方正仿宋_GBK" w:hAnsi="方正仿宋_GBK" w:eastAsia="方正仿宋_GBK" w:cs="方正仿宋_GBK"/>
          <w:b/>
          <w:sz w:val="24"/>
          <w:szCs w:val="24"/>
          <w:lang w:val="en-US" w:eastAsia="zh-CN"/>
        </w:rPr>
      </w:pPr>
    </w:p>
    <w:p w14:paraId="70A26C93">
      <w:pPr>
        <w:rPr>
          <w:rFonts w:hint="eastAsia" w:ascii="方正仿宋_GBK" w:hAnsi="方正仿宋_GBK" w:eastAsia="方正仿宋_GBK" w:cs="方正仿宋_GBK"/>
          <w:b/>
          <w:sz w:val="24"/>
          <w:szCs w:val="24"/>
          <w:lang w:val="en-US" w:eastAsia="zh-CN"/>
        </w:rPr>
      </w:pPr>
    </w:p>
    <w:p w14:paraId="06D0763D">
      <w:pPr>
        <w:rPr>
          <w:rFonts w:hint="eastAsia" w:ascii="方正仿宋_GBK" w:hAnsi="方正仿宋_GBK" w:eastAsia="方正仿宋_GBK" w:cs="方正仿宋_GBK"/>
          <w:b/>
          <w:sz w:val="24"/>
          <w:szCs w:val="24"/>
          <w:lang w:val="en-US" w:eastAsia="zh-CN"/>
        </w:rPr>
      </w:pPr>
    </w:p>
    <w:p w14:paraId="03924E4A">
      <w:pPr>
        <w:rPr>
          <w:rFonts w:hint="eastAsia" w:ascii="方正仿宋_GBK" w:hAnsi="方正仿宋_GBK" w:eastAsia="方正仿宋_GBK" w:cs="方正仿宋_GBK"/>
          <w:b/>
          <w:sz w:val="24"/>
          <w:szCs w:val="24"/>
          <w:lang w:val="en-US" w:eastAsia="zh-CN"/>
        </w:rPr>
      </w:pPr>
    </w:p>
    <w:p w14:paraId="36546CA5">
      <w:pPr>
        <w:rPr>
          <w:rFonts w:hint="eastAsia" w:ascii="方正仿宋_GBK" w:hAnsi="方正仿宋_GBK" w:eastAsia="方正仿宋_GBK" w:cs="方正仿宋_GBK"/>
          <w:b/>
          <w:sz w:val="24"/>
          <w:szCs w:val="24"/>
          <w:lang w:val="en-US" w:eastAsia="zh-CN"/>
        </w:rPr>
      </w:pPr>
    </w:p>
    <w:p w14:paraId="59E9DC71">
      <w:pPr>
        <w:rPr>
          <w:rFonts w:hint="eastAsia" w:ascii="方正仿宋_GBK" w:hAnsi="方正仿宋_GBK" w:eastAsia="方正仿宋_GBK" w:cs="方正仿宋_GBK"/>
          <w:b/>
          <w:sz w:val="24"/>
          <w:szCs w:val="24"/>
          <w:lang w:val="en-US" w:eastAsia="zh-CN"/>
        </w:rPr>
      </w:pPr>
    </w:p>
    <w:p w14:paraId="602920C7">
      <w:pPr>
        <w:rPr>
          <w:rFonts w:hint="eastAsia" w:ascii="方正仿宋_GBK" w:hAnsi="方正仿宋_GBK" w:eastAsia="方正仿宋_GBK" w:cs="方正仿宋_GBK"/>
          <w:b/>
          <w:sz w:val="24"/>
          <w:szCs w:val="24"/>
          <w:lang w:val="en-US" w:eastAsia="zh-CN"/>
        </w:rPr>
      </w:pPr>
    </w:p>
    <w:p w14:paraId="4BFA4E0E">
      <w:pPr>
        <w:rPr>
          <w:rFonts w:hint="eastAsia" w:ascii="方正仿宋_GBK" w:hAnsi="方正仿宋_GBK" w:eastAsia="方正仿宋_GBK" w:cs="方正仿宋_GBK"/>
          <w:b/>
          <w:sz w:val="24"/>
          <w:szCs w:val="24"/>
          <w:lang w:val="en-US" w:eastAsia="zh-CN"/>
        </w:rPr>
      </w:pPr>
    </w:p>
    <w:p w14:paraId="18E066A1">
      <w:pPr>
        <w:rPr>
          <w:rFonts w:hint="eastAsia" w:ascii="方正仿宋_GBK" w:hAnsi="方正仿宋_GBK" w:eastAsia="方正仿宋_GBK" w:cs="方正仿宋_GBK"/>
          <w:b/>
          <w:sz w:val="24"/>
          <w:szCs w:val="24"/>
          <w:lang w:val="en-US" w:eastAsia="zh-CN"/>
        </w:rPr>
      </w:pPr>
    </w:p>
    <w:p w14:paraId="14587E8E">
      <w:pPr>
        <w:rPr>
          <w:rFonts w:hint="eastAsia" w:ascii="方正仿宋_GBK" w:hAnsi="方正仿宋_GBK" w:eastAsia="方正仿宋_GBK" w:cs="方正仿宋_GBK"/>
          <w:b/>
          <w:sz w:val="24"/>
          <w:szCs w:val="24"/>
          <w:lang w:val="en-US" w:eastAsia="zh-CN"/>
        </w:rPr>
      </w:pPr>
    </w:p>
    <w:p w14:paraId="617C0566">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4"/>
    <w:p w14:paraId="2A1138C2">
      <w:pPr>
        <w:tabs>
          <w:tab w:val="left" w:pos="6300"/>
        </w:tabs>
        <w:snapToGrid w:val="0"/>
        <w:rPr>
          <w:rFonts w:ascii="方正仿宋_GBK" w:hAnsi="方正仿宋_GBK" w:eastAsia="方正仿宋_GBK" w:cs="方正仿宋_GBK"/>
          <w:b/>
          <w:sz w:val="24"/>
          <w:szCs w:val="24"/>
        </w:rPr>
      </w:pPr>
      <w:bookmarkStart w:id="25" w:name="_Toc9726"/>
      <w:bookmarkStart w:id="26" w:name="_Toc477027621"/>
      <w:bookmarkStart w:id="27"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5"/>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8" w:name="_Toc4879"/>
      <w:r>
        <w:rPr>
          <w:rFonts w:hint="eastAsia" w:ascii="方正仿宋_GBK" w:hAnsi="方正仿宋_GBK" w:eastAsia="方正仿宋_GBK" w:cs="方正仿宋_GBK"/>
          <w:b/>
          <w:bCs/>
          <w:sz w:val="27"/>
          <w:szCs w:val="32"/>
          <w:lang w:val="en-US" w:eastAsia="zh-CN"/>
        </w:rPr>
        <w:t>九</w:t>
      </w:r>
      <w:r>
        <w:rPr>
          <w:rFonts w:hint="eastAsia" w:ascii="方正仿宋_GBK" w:hAnsi="方正仿宋_GBK" w:eastAsia="方正仿宋_GBK" w:cs="方正仿宋_GBK"/>
          <w:b/>
          <w:sz w:val="24"/>
          <w:szCs w:val="24"/>
        </w:rPr>
        <w:t>、商务条款差异表</w:t>
      </w:r>
      <w:bookmarkEnd w:id="28"/>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9"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29"/>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6"/>
    <w:bookmarkEnd w:id="27"/>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0569C"/>
    <w:multiLevelType w:val="singleLevel"/>
    <w:tmpl w:val="A3A0569C"/>
    <w:lvl w:ilvl="0" w:tentative="0">
      <w:start w:val="6"/>
      <w:numFmt w:val="chineseCounting"/>
      <w:suff w:val="nothing"/>
      <w:lvlText w:val="%1、"/>
      <w:lvlJc w:val="left"/>
      <w:rPr>
        <w:rFonts w:hint="eastAsia"/>
      </w:rPr>
    </w:lvl>
  </w:abstractNum>
  <w:abstractNum w:abstractNumId="1">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044C13"/>
    <w:rsid w:val="03886894"/>
    <w:rsid w:val="040D3015"/>
    <w:rsid w:val="050246A7"/>
    <w:rsid w:val="075C35E2"/>
    <w:rsid w:val="07F537BE"/>
    <w:rsid w:val="09293C1C"/>
    <w:rsid w:val="0AB3797D"/>
    <w:rsid w:val="0B3010BA"/>
    <w:rsid w:val="0B642CE9"/>
    <w:rsid w:val="0B732CEA"/>
    <w:rsid w:val="0B8C422C"/>
    <w:rsid w:val="0BAE757D"/>
    <w:rsid w:val="0C6F257F"/>
    <w:rsid w:val="0D592931"/>
    <w:rsid w:val="0E774B37"/>
    <w:rsid w:val="0EDB66DD"/>
    <w:rsid w:val="0F156FF2"/>
    <w:rsid w:val="0F786D63"/>
    <w:rsid w:val="0F916572"/>
    <w:rsid w:val="100B1513"/>
    <w:rsid w:val="105C0433"/>
    <w:rsid w:val="123D05AB"/>
    <w:rsid w:val="12EE078C"/>
    <w:rsid w:val="13857CA0"/>
    <w:rsid w:val="14030067"/>
    <w:rsid w:val="14795A57"/>
    <w:rsid w:val="158150F1"/>
    <w:rsid w:val="16565924"/>
    <w:rsid w:val="16DB77CE"/>
    <w:rsid w:val="16FB751D"/>
    <w:rsid w:val="18115FA7"/>
    <w:rsid w:val="183B1275"/>
    <w:rsid w:val="18CD3816"/>
    <w:rsid w:val="19633274"/>
    <w:rsid w:val="1AF52E92"/>
    <w:rsid w:val="1B8E228E"/>
    <w:rsid w:val="1C7865F4"/>
    <w:rsid w:val="1D2815CA"/>
    <w:rsid w:val="1D2D2E81"/>
    <w:rsid w:val="1D2E3365"/>
    <w:rsid w:val="1E6B720A"/>
    <w:rsid w:val="1EF86EC7"/>
    <w:rsid w:val="20287628"/>
    <w:rsid w:val="203749B0"/>
    <w:rsid w:val="20D65FDF"/>
    <w:rsid w:val="20EE3329"/>
    <w:rsid w:val="21FF50C2"/>
    <w:rsid w:val="222E39F2"/>
    <w:rsid w:val="22E22B91"/>
    <w:rsid w:val="23B97B7D"/>
    <w:rsid w:val="27070CA1"/>
    <w:rsid w:val="270F3FF9"/>
    <w:rsid w:val="28077B81"/>
    <w:rsid w:val="28321D4D"/>
    <w:rsid w:val="293F3BD0"/>
    <w:rsid w:val="29E01264"/>
    <w:rsid w:val="2A344B97"/>
    <w:rsid w:val="2ADB5CCE"/>
    <w:rsid w:val="2B3247EE"/>
    <w:rsid w:val="2CAC08A7"/>
    <w:rsid w:val="2DA41B2C"/>
    <w:rsid w:val="2E505C0F"/>
    <w:rsid w:val="2E8452CD"/>
    <w:rsid w:val="2ED44778"/>
    <w:rsid w:val="309D4424"/>
    <w:rsid w:val="31C808B4"/>
    <w:rsid w:val="34181C02"/>
    <w:rsid w:val="3423303B"/>
    <w:rsid w:val="35B17B91"/>
    <w:rsid w:val="35BD7BAA"/>
    <w:rsid w:val="3621580C"/>
    <w:rsid w:val="38106BE9"/>
    <w:rsid w:val="387C16D5"/>
    <w:rsid w:val="3B6F4DCA"/>
    <w:rsid w:val="3C13751A"/>
    <w:rsid w:val="3C2B6D87"/>
    <w:rsid w:val="3C2D6367"/>
    <w:rsid w:val="3EC66A70"/>
    <w:rsid w:val="406E2D1D"/>
    <w:rsid w:val="40F84A00"/>
    <w:rsid w:val="412874F2"/>
    <w:rsid w:val="415215C9"/>
    <w:rsid w:val="42955FAB"/>
    <w:rsid w:val="45975B2F"/>
    <w:rsid w:val="46A55988"/>
    <w:rsid w:val="475F3D89"/>
    <w:rsid w:val="48074AA5"/>
    <w:rsid w:val="48EA42C6"/>
    <w:rsid w:val="4A3930F3"/>
    <w:rsid w:val="4AED7BC5"/>
    <w:rsid w:val="4C3E42DF"/>
    <w:rsid w:val="4D155616"/>
    <w:rsid w:val="4DDD0570"/>
    <w:rsid w:val="4DFC79FB"/>
    <w:rsid w:val="4E3450A1"/>
    <w:rsid w:val="50897E60"/>
    <w:rsid w:val="50D5061B"/>
    <w:rsid w:val="519A3A0B"/>
    <w:rsid w:val="52640910"/>
    <w:rsid w:val="532479B4"/>
    <w:rsid w:val="53CF09E6"/>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600E201D"/>
    <w:rsid w:val="602F210D"/>
    <w:rsid w:val="61865E2A"/>
    <w:rsid w:val="61C56B56"/>
    <w:rsid w:val="62B341DC"/>
    <w:rsid w:val="63C92918"/>
    <w:rsid w:val="64623876"/>
    <w:rsid w:val="64A53C67"/>
    <w:rsid w:val="64B12E90"/>
    <w:rsid w:val="64FE2BB3"/>
    <w:rsid w:val="662750D1"/>
    <w:rsid w:val="679F2A2E"/>
    <w:rsid w:val="67EC4D0C"/>
    <w:rsid w:val="67FB1A94"/>
    <w:rsid w:val="684014B1"/>
    <w:rsid w:val="68DE65B8"/>
    <w:rsid w:val="69436572"/>
    <w:rsid w:val="699D49E1"/>
    <w:rsid w:val="69CE37CD"/>
    <w:rsid w:val="6B217DBD"/>
    <w:rsid w:val="6BF2253C"/>
    <w:rsid w:val="6C123CD9"/>
    <w:rsid w:val="6C466C05"/>
    <w:rsid w:val="6D3A4132"/>
    <w:rsid w:val="6E6935BC"/>
    <w:rsid w:val="6EE23B3E"/>
    <w:rsid w:val="6FFA3D39"/>
    <w:rsid w:val="704F4517"/>
    <w:rsid w:val="70C25921"/>
    <w:rsid w:val="70F3072C"/>
    <w:rsid w:val="710B35D9"/>
    <w:rsid w:val="72807126"/>
    <w:rsid w:val="72DC2F85"/>
    <w:rsid w:val="751A5716"/>
    <w:rsid w:val="754E7067"/>
    <w:rsid w:val="7620086F"/>
    <w:rsid w:val="7655402D"/>
    <w:rsid w:val="76714C77"/>
    <w:rsid w:val="7852034C"/>
    <w:rsid w:val="78A8232B"/>
    <w:rsid w:val="79497752"/>
    <w:rsid w:val="795A0C9B"/>
    <w:rsid w:val="79C964C0"/>
    <w:rsid w:val="79E2472F"/>
    <w:rsid w:val="7A235449"/>
    <w:rsid w:val="7A7E5C42"/>
    <w:rsid w:val="7A8A28F0"/>
    <w:rsid w:val="7A8A7445"/>
    <w:rsid w:val="7A9A5207"/>
    <w:rsid w:val="7B91123C"/>
    <w:rsid w:val="7BC745A4"/>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
    <w:link w:val="69"/>
    <w:autoRedefine/>
    <w:unhideWhenUsed/>
    <w:qFormat/>
    <w:uiPriority w:val="99"/>
    <w:pPr>
      <w:spacing w:after="120"/>
    </w:p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3794</Words>
  <Characters>3986</Characters>
  <Lines>159</Lines>
  <Paragraphs>45</Paragraphs>
  <TotalTime>0</TotalTime>
  <ScaleCrop>false</ScaleCrop>
  <LinksUpToDate>false</LinksUpToDate>
  <CharactersWithSpaces>5237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2026-05-08T07:53:49Z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