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无线AP</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4</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gridCol w:w="1833"/>
      </w:tblGrid>
      <w:tr w14:paraId="7580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采购总限价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lang w:val="en-US" w:eastAsia="zh-CN"/>
              </w:rPr>
              <w:t>数量（台）</w:t>
            </w:r>
          </w:p>
        </w:tc>
        <w:tc>
          <w:tcPr>
            <w:tcW w:w="1833" w:type="dxa"/>
            <w:shd w:val="clear" w:color="auto" w:fill="auto"/>
            <w:vAlign w:val="center"/>
          </w:tcPr>
          <w:p w14:paraId="4187128E">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327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无线AP</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12800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6</w:t>
            </w:r>
          </w:p>
        </w:tc>
        <w:tc>
          <w:tcPr>
            <w:tcW w:w="1833" w:type="dxa"/>
            <w:shd w:val="clear" w:color="auto" w:fill="auto"/>
            <w:vAlign w:val="center"/>
          </w:tcPr>
          <w:p w14:paraId="18CF5B1D">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64637619"/>
      <w:bookmarkStart w:id="1" w:name="_Toc416792603"/>
      <w:bookmarkStart w:id="2" w:name="_Toc26735"/>
      <w:bookmarkStart w:id="3" w:name="_Toc433726022"/>
      <w:bookmarkStart w:id="4" w:name="_Toc267320049"/>
      <w:bookmarkStart w:id="5" w:name="_Toc514962183"/>
      <w:bookmarkStart w:id="6" w:name="_Toc23014"/>
    </w:p>
    <w:p w14:paraId="31226BCD">
      <w:pPr>
        <w:keepNext/>
        <w:keepLines/>
        <w:widowControl/>
        <w:adjustRightInd w:val="0"/>
        <w:snapToGrid w:val="0"/>
        <w:spacing w:before="48" w:beforeLines="20" w:after="48" w:afterLines="20"/>
        <w:ind w:firstLine="336" w:firstLineChars="140"/>
        <w:jc w:val="left"/>
        <w:outlineLvl w:val="1"/>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（一）采购数量6台</w:t>
      </w:r>
    </w:p>
    <w:p w14:paraId="76C66EB9">
      <w:pPr>
        <w:keepNext/>
        <w:keepLines/>
        <w:widowControl/>
        <w:adjustRightInd w:val="0"/>
        <w:snapToGrid w:val="0"/>
        <w:spacing w:before="48" w:beforeLines="20" w:after="48" w:afterLines="20"/>
        <w:ind w:firstLine="336" w:firstLineChars="140"/>
        <w:jc w:val="left"/>
        <w:outlineLvl w:val="1"/>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（二）技术参数</w:t>
      </w:r>
    </w:p>
    <w:p w14:paraId="7E9BC1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1、工作模式：采用整机双频4流设计，可同时工作在802.11a/b/g/n/ac/ac wave2/ax模式;</w:t>
      </w:r>
    </w:p>
    <w:p w14:paraId="08148B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2、协商速率：整机协商速率≥2.975Gbps，其中5G射频速率≥2.4G，2.4G射频速率≥0.575G；</w:t>
      </w:r>
    </w:p>
    <w:p w14:paraId="10C547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3、接口设计：固化接口数≥1个2.5G光口，≥1个1000M电口，提供官网截图证明；</w:t>
      </w:r>
    </w:p>
    <w:p w14:paraId="153AE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4、内置物理网：支持内置BLE5.1功能模块，要求提供官网截图;</w:t>
      </w:r>
    </w:p>
    <w:p w14:paraId="6732C7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5、工作类型：AP内置多合一版本可根据需求灵活的切换工作模式版本，支持Fit AP、Fat AP和云AP三种工作类型;</w:t>
      </w:r>
    </w:p>
    <w:p w14:paraId="399848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6、设备管理：Fat AP、云AP工作模式下，支持被云平台统一管理;</w:t>
      </w:r>
    </w:p>
    <w:p w14:paraId="14C8EF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7、模式切换：可通过命令行，AC，云平台，Reset按键等切换模式，提供官网截图;</w:t>
      </w:r>
    </w:p>
    <w:p w14:paraId="21B5C5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8、接入用户数：整机最大接入用户数≥256，提供官网截图;</w:t>
      </w:r>
    </w:p>
    <w:p w14:paraId="62F23B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9、虚拟AP：整机最大服务数量≥16，实际应用中每射频≥5个;</w:t>
      </w:r>
    </w:p>
    <w:p w14:paraId="0C88CC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10、终端准入：支持802.1x认证、MAC地址认证、PSK认证、Portal认证等；open system/shared key认证；增强开放系统认证WPA、WPA2、WPA3、Pre-RSNA用户混合接入;</w:t>
      </w:r>
    </w:p>
    <w:p w14:paraId="4151EA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11、支持WIPS，配合无线控制器/无线交换机可以同时支持Rogue检测、入侵检测以及黑名单和白名单等WIPS特性，可对无线非法设备进行检测，识别和反制，进行有效阻断;</w:t>
      </w:r>
    </w:p>
    <w:p w14:paraId="5E7AFE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highlight w:val="none"/>
          <w:lang w:val="en-US" w:eastAsia="zh-CN"/>
        </w:rPr>
      </w:pPr>
      <w:r>
        <w:rPr>
          <w:rFonts w:hint="eastAsia" w:ascii="仿宋" w:eastAsia="仿宋" w:cs="仿宋"/>
          <w:sz w:val="24"/>
          <w:szCs w:val="24"/>
          <w:highlight w:val="none"/>
          <w:rtl w:val="0"/>
          <w:lang w:val="en-US" w:eastAsia="zh-CN"/>
        </w:rPr>
        <w:t>12、安装地点：</w:t>
      </w:r>
      <w:r>
        <w:rPr>
          <w:rFonts w:hint="eastAsia" w:ascii="方正仿宋_GBK" w:hAnsi="宋体" w:eastAsia="方正仿宋_GBK" w:cs="Times New Roman"/>
          <w:sz w:val="24"/>
          <w:highlight w:val="none"/>
          <w:lang w:val="en-US" w:eastAsia="zh-CN"/>
        </w:rPr>
        <w:t>3F手术室大厅、3F皮肤科6诊室门口、3F皮肤科检查室门口、1F住院电梯大厅、-1F介入科门口、-1F核磁共振护士台</w:t>
      </w:r>
      <w:r>
        <w:rPr>
          <w:rFonts w:hint="eastAsia" w:ascii="仿宋" w:eastAsia="仿宋" w:cs="仿宋"/>
          <w:sz w:val="24"/>
          <w:szCs w:val="24"/>
          <w:highlight w:val="none"/>
          <w:rtl w:val="0"/>
          <w:lang w:val="en-US" w:eastAsia="zh-CN"/>
        </w:rPr>
        <w:t>;</w:t>
      </w:r>
    </w:p>
    <w:p w14:paraId="6ADF23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color w:val="000000" w:themeColor="text1"/>
          <w:sz w:val="24"/>
          <w:szCs w:val="24"/>
          <w:highlight w:val="green"/>
          <w:rtl w:val="0"/>
          <w:lang w:val="en-US" w:eastAsia="zh-CN"/>
          <w14:textFill>
            <w14:solidFill>
              <w14:schemeClr w14:val="tx1"/>
            </w14:solidFill>
          </w14:textFill>
        </w:rPr>
      </w:pPr>
      <w:r>
        <w:rPr>
          <w:rFonts w:hint="eastAsia" w:ascii="仿宋" w:eastAsia="仿宋" w:cs="仿宋"/>
          <w:color w:val="000000" w:themeColor="text1"/>
          <w:sz w:val="24"/>
          <w:szCs w:val="24"/>
          <w:highlight w:val="none"/>
          <w:rtl w:val="0"/>
          <w:lang w:val="en-US" w:eastAsia="zh-CN"/>
          <w14:textFill>
            <w14:solidFill>
              <w14:schemeClr w14:val="tx1"/>
            </w14:solidFill>
          </w14:textFill>
        </w:rPr>
        <w:t>13、医院无线 AP 覆盖核心目的：保障医疗业务稳定、满足医护 / 患者高效用网、支撑智慧医院运营。</w:t>
      </w: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2B2CD0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合同签订后5个工作日内交货并完成安装调试。</w:t>
      </w:r>
    </w:p>
    <w:p w14:paraId="31D9DD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eastAsia="仿宋" w:cs="仿宋"/>
          <w:sz w:val="24"/>
          <w:szCs w:val="24"/>
          <w:lang w:val="en-US" w:eastAsia="zh-CN"/>
        </w:rPr>
      </w:pPr>
      <w:r>
        <w:rPr>
          <w:rFonts w:hint="eastAsia" w:ascii="方正仿宋_GBK" w:hAnsi="宋体" w:eastAsia="方正仿宋_GBK" w:cs="Times New Roman"/>
          <w:sz w:val="24"/>
          <w:lang w:val="en-US" w:eastAsia="zh-CN"/>
        </w:rPr>
        <w:t>陈家桥医院信息科指定地点。</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64637620"/>
      <w:bookmarkStart w:id="8" w:name="_Toc19132"/>
      <w:bookmarkStart w:id="9" w:name="_Toc433726023"/>
      <w:bookmarkStart w:id="10" w:name="_Toc267320050"/>
      <w:r>
        <w:rPr>
          <w:rFonts w:hint="eastAsia" w:ascii="仿宋" w:eastAsia="仿宋" w:cs="仿宋"/>
          <w:sz w:val="24"/>
          <w:szCs w:val="24"/>
          <w:rtl w:val="0"/>
          <w:lang w:val="en-US" w:eastAsia="zh-CN"/>
        </w:rPr>
        <w:t>（三）验收方式：</w:t>
      </w:r>
    </w:p>
    <w:p w14:paraId="4E6BA3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属于国家强制性认证产品的需提供认证相关资料，如未提供，则不予验收。</w:t>
      </w:r>
    </w:p>
    <w:p w14:paraId="7A163D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1、验收标准：按国家、地区、行业中最高的有关标准和技术协议。</w:t>
      </w:r>
    </w:p>
    <w:p w14:paraId="69F3DC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货物到达收货地点后需方应对货物的数量、外观质量进行点验。验收前，供方应当向需方提交出厂合格证、使用说明书或操作手册、质量检验证明书、随配附件和工具以及清单等。若货物发生缺、损或与合同规定不符，需方有权拒绝接收，交货期不予顺延。供方应尽快负责补足或更换。</w:t>
      </w:r>
    </w:p>
    <w:p w14:paraId="2265F2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3、需方的验收和收货，只代表常规的检测验收，不免除供方对产品内在质量的责任，不排除供方的其他义务。</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40070C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433726026"/>
      <w:bookmarkStart w:id="12" w:name="_Toc267320051"/>
      <w:bookmarkStart w:id="13" w:name="_Toc24020"/>
      <w:bookmarkStart w:id="14" w:name="_Toc464637622"/>
      <w:r>
        <w:rPr>
          <w:rFonts w:hint="eastAsia" w:ascii="仿宋" w:eastAsia="仿宋" w:cs="仿宋"/>
          <w:sz w:val="24"/>
          <w:szCs w:val="24"/>
          <w:rtl w:val="0"/>
          <w:lang w:val="en-US" w:eastAsia="zh-CN"/>
        </w:rPr>
        <w:t>本项目为人民币报价，报价应为完成该项目所需的软件费、配件及材料费、人工费、措施费、风险费、运输费、管理费、包装费、调试费、后续服务费、利润、税金等所有费用。因供应商自身原因造成漏报、少报皆由供应商自行承担责任，采购人不再补偿。</w:t>
      </w:r>
    </w:p>
    <w:p w14:paraId="77C005C8">
      <w:pPr>
        <w:keepNext/>
        <w:keepLines/>
        <w:widowControl/>
        <w:numPr>
          <w:ilvl w:val="0"/>
          <w:numId w:val="17"/>
        </w:numPr>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质量保证期及售后</w:t>
      </w:r>
    </w:p>
    <w:p w14:paraId="2B84C0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（一）项目验收合格日期起1年</w:t>
      </w:r>
    </w:p>
    <w:p w14:paraId="1E1E63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45B6A1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0FE8DB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3.成交供应商应保证工作成果质量，因供应商原因造成的系统上传资料不完整或相关情况说明有误，实行经济惩戒。</w:t>
      </w:r>
    </w:p>
    <w:p w14:paraId="508B88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（二）售后服务方案</w:t>
      </w:r>
    </w:p>
    <w:p w14:paraId="69EF6D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投标人的服务承诺应按不低于招标文件中提出的所有服务要求的标准做出响应。其基本要求如下:</w:t>
      </w:r>
    </w:p>
    <w:p w14:paraId="148F14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1.提供详细的服务方案，包含项目建设与运行管理、人员配置与培训、项目实施进度、重大问题处置流程、服务质量保障等内容</w:t>
      </w:r>
    </w:p>
    <w:p w14:paraId="174417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2.运维保障要求供应商在服务期内应当为采购人提供的技术支持和服务</w:t>
      </w:r>
    </w:p>
    <w:p w14:paraId="109E77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(1)电话咨询：供应商应当为采购人提供技术援助电话，解答采购人在使用中遇到的问题，及时为采购人提出解决问题的建议。</w:t>
      </w:r>
    </w:p>
    <w:p w14:paraId="6074DF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(2)现场响应：采购人遇到使用及技术问题，电话咨询不能解决的，供应商应在2小时内到达现场进行处理;无法现场解决的，应提供备用产品，使采购人能够正常使用。</w:t>
      </w:r>
    </w:p>
    <w:p w14:paraId="444D34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3.超出维保期，费用不得超过中标额的7%，签暑维保合同。</w:t>
      </w:r>
    </w:p>
    <w:p w14:paraId="02064AF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七、培训</w:t>
      </w:r>
    </w:p>
    <w:p w14:paraId="2D1E8E47">
      <w:pPr>
        <w:ind w:firstLine="464" w:firstLineChars="200"/>
        <w:rPr>
          <w:rFonts w:hint="eastAsia" w:ascii="宋体" w:hAnsi="宋体" w:eastAsia="黑体" w:cs="宋体"/>
          <w:b/>
          <w:sz w:val="28"/>
          <w:lang w:val="en-US" w:eastAsia="zh-CN"/>
        </w:rPr>
      </w:pPr>
      <w:r>
        <w:rPr>
          <w:rFonts w:hint="eastAsia" w:ascii="方正仿宋_GBK" w:hAnsi="方正仿宋_GBK" w:eastAsia="方正仿宋_GBK" w:cs="方正仿宋_GBK"/>
          <w:spacing w:val="-4"/>
          <w:kern w:val="2"/>
          <w:sz w:val="24"/>
          <w:szCs w:val="24"/>
          <w:rtl w:val="0"/>
          <w:lang w:val="en-US" w:eastAsia="zh-CN" w:bidi="ar-SA"/>
        </w:rPr>
        <w:t>采用线上、下线、集中或一对一培训等方式，确保采购人使用该系统所涉及的科室及人员，熟练操作系统;解决系统简单问题有故障;提供培训跟进服务，达到采购人的操作人员可以培训指导其它人员的能力。</w:t>
      </w:r>
    </w:p>
    <w:p w14:paraId="557EE961">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八</w:t>
      </w:r>
      <w:r>
        <w:rPr>
          <w:rFonts w:hint="eastAsia" w:ascii="宋体" w:hAnsi="宋体" w:eastAsia="黑体" w:cs="宋体"/>
          <w:b/>
          <w:sz w:val="28"/>
        </w:rPr>
        <w:t>、</w:t>
      </w:r>
      <w:r>
        <w:rPr>
          <w:rFonts w:hint="eastAsia" w:ascii="宋体" w:hAnsi="宋体" w:eastAsia="黑体" w:cs="宋体"/>
          <w:b/>
          <w:sz w:val="28"/>
          <w:lang w:val="en-US" w:eastAsia="zh-CN"/>
        </w:rPr>
        <w:t>付款方式</w:t>
      </w:r>
      <w:bookmarkEnd w:id="11"/>
      <w:bookmarkEnd w:id="12"/>
      <w:bookmarkEnd w:id="13"/>
      <w:bookmarkEnd w:id="14"/>
    </w:p>
    <w:p w14:paraId="2E64B371">
      <w:pPr>
        <w:ind w:firstLine="464" w:firstLineChars="200"/>
        <w:rPr>
          <w:rFonts w:hint="eastAsia" w:ascii="方正仿宋_GBK" w:hAnsi="方正仿宋_GBK" w:eastAsia="方正仿宋_GBK" w:cs="方正仿宋_GBK"/>
          <w:spacing w:val="-4"/>
          <w:kern w:val="2"/>
          <w:sz w:val="24"/>
          <w:szCs w:val="24"/>
          <w:rtl w:val="0"/>
          <w:lang w:val="en-US" w:eastAsia="zh-CN" w:bidi="ar-SA"/>
        </w:rPr>
      </w:pPr>
      <w:bookmarkStart w:id="15" w:name="_Toc416792607"/>
      <w:bookmarkStart w:id="16" w:name="_Toc464637624"/>
      <w:bookmarkStart w:id="17" w:name="_Toc3963"/>
      <w:bookmarkStart w:id="18" w:name="_Toc433726028"/>
      <w:r>
        <w:rPr>
          <w:rFonts w:hint="eastAsia" w:ascii="方正仿宋_GBK" w:hAnsi="方正仿宋_GBK" w:eastAsia="方正仿宋_GBK" w:cs="方正仿宋_GBK"/>
          <w:spacing w:val="-4"/>
          <w:kern w:val="2"/>
          <w:sz w:val="24"/>
          <w:szCs w:val="24"/>
          <w:rtl w:val="0"/>
          <w:lang w:val="en-US" w:eastAsia="zh-CN" w:bidi="ar-SA"/>
        </w:rPr>
        <w:t>项目验收合格后，30个工作日内公对公转账支付至合同款的90%，合同签订日起一年后支付至合同款的100%。</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九</w:t>
      </w:r>
      <w:r>
        <w:rPr>
          <w:rFonts w:hint="eastAsia" w:ascii="宋体" w:hAnsi="宋体" w:eastAsia="黑体" w:cs="宋体"/>
          <w:b/>
          <w:sz w:val="28"/>
        </w:rPr>
        <w:t>、</w:t>
      </w:r>
      <w:r>
        <w:rPr>
          <w:rFonts w:hint="eastAsia" w:ascii="宋体" w:hAnsi="宋体" w:eastAsia="黑体" w:cs="宋体"/>
          <w:b/>
          <w:sz w:val="28"/>
          <w:rtl w:val="0"/>
          <w:lang w:val="en-US" w:eastAsia="zh-CN"/>
        </w:rPr>
        <w:t>知识产权</w:t>
      </w:r>
      <w:bookmarkEnd w:id="15"/>
      <w:bookmarkEnd w:id="16"/>
      <w:bookmarkEnd w:id="17"/>
      <w:bookmarkEnd w:id="18"/>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spacing w:val="-4"/>
          <w:sz w:val="24"/>
          <w:szCs w:val="24"/>
        </w:rPr>
        <w:t>采购人在中华人民共和国境内使用响应供应商提供的货物及服务时免</w:t>
      </w:r>
      <w:r>
        <w:rPr>
          <w:rFonts w:hint="eastAsia" w:ascii="方正仿宋_GBK" w:hAnsi="方正仿宋_GBK" w:eastAsia="方正仿宋_GBK" w:cs="方正仿宋_GBK"/>
          <w:spacing w:val="10"/>
          <w:sz w:val="24"/>
          <w:szCs w:val="24"/>
        </w:rPr>
        <w:t xml:space="preserve"> </w:t>
      </w:r>
      <w:r>
        <w:rPr>
          <w:rFonts w:hint="eastAsia" w:ascii="方正仿宋_GBK" w:hAnsi="方正仿宋_GBK" w:eastAsia="方正仿宋_GBK" w:cs="方正仿宋_GBK"/>
          <w:spacing w:val="-11"/>
          <w:sz w:val="24"/>
          <w:szCs w:val="24"/>
        </w:rPr>
        <w:t>受</w:t>
      </w:r>
      <w:r>
        <w:rPr>
          <w:rFonts w:hint="eastAsia" w:ascii="方正仿宋_GBK" w:hAnsi="方正仿宋_GBK" w:eastAsia="方正仿宋_GBK" w:cs="方正仿宋_GBK"/>
          <w:spacing w:val="-10"/>
          <w:sz w:val="24"/>
          <w:szCs w:val="24"/>
        </w:rPr>
        <w:t>第三方提出的侵犯其专利权或其它知识产权的</w:t>
      </w:r>
      <w:r>
        <w:rPr>
          <w:rFonts w:hint="eastAsia" w:ascii="方正仿宋_GBK" w:hAnsi="方正仿宋_GBK" w:eastAsia="方正仿宋_GBK" w:cs="方正仿宋_GBK"/>
          <w:spacing w:val="-11"/>
          <w:sz w:val="24"/>
          <w:szCs w:val="24"/>
        </w:rPr>
        <w:t>起诉。如果第三方提出侵</w:t>
      </w:r>
      <w:r>
        <w:rPr>
          <w:rFonts w:hint="eastAsia" w:ascii="方正仿宋_GBK" w:hAnsi="方正仿宋_GBK" w:eastAsia="方正仿宋_GBK" w:cs="方正仿宋_GBK"/>
          <w:spacing w:val="-10"/>
          <w:sz w:val="24"/>
          <w:szCs w:val="24"/>
        </w:rPr>
        <w:t>权</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1"/>
          <w:sz w:val="24"/>
          <w:szCs w:val="24"/>
        </w:rPr>
        <w:t>指控，成交供应商应承担由此而引起的一切法律责任和费用。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2246FD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19224B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2、报名截止时间2026年6月3</w:t>
      </w:r>
      <w:bookmarkStart w:id="26" w:name="_GoBack"/>
      <w:bookmarkEnd w:id="26"/>
      <w:r>
        <w:rPr>
          <w:rFonts w:hint="eastAsia" w:ascii="仿宋" w:eastAsia="仿宋" w:cs="仿宋"/>
          <w:sz w:val="24"/>
          <w:szCs w:val="24"/>
          <w:rtl w:val="0"/>
          <w:lang w:val="en-US" w:eastAsia="zh-CN"/>
        </w:rPr>
        <w:t>日15：00（北京时间）</w:t>
      </w:r>
    </w:p>
    <w:p w14:paraId="36150E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十二</w:t>
      </w:r>
      <w:r>
        <w:rPr>
          <w:rFonts w:hint="eastAsia" w:ascii="宋体" w:hAnsi="宋体" w:eastAsia="黑体" w:cs="宋体"/>
          <w:b/>
          <w:sz w:val="28"/>
        </w:rPr>
        <w:t>、</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19"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19"/>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0" w:name="_Toc17074"/>
    </w:p>
    <w:p w14:paraId="11E6D8D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A6D3E42">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F0935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BD7E7B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1C825F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5CE3E8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BD224C">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0DD243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23C1E6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0FBADF2">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4F559827">
      <w:pPr>
        <w:pStyle w:val="16"/>
        <w:rPr>
          <w:rFonts w:hint="eastAsia" w:ascii="宋体" w:hAnsi="宋体" w:eastAsia="黑体" w:cs="宋体"/>
          <w:b/>
          <w:sz w:val="30"/>
          <w:szCs w:val="28"/>
        </w:rPr>
      </w:pPr>
    </w:p>
    <w:p w14:paraId="1C5AC26B">
      <w:pPr>
        <w:rPr>
          <w:rFonts w:hint="eastAsia" w:ascii="宋体" w:hAnsi="宋体" w:eastAsia="黑体" w:cs="宋体"/>
          <w:b/>
          <w:sz w:val="30"/>
          <w:szCs w:val="28"/>
        </w:rPr>
      </w:pPr>
    </w:p>
    <w:p w14:paraId="2D7C312D">
      <w:pPr>
        <w:pStyle w:val="16"/>
        <w:rPr>
          <w:rFonts w:hint="eastAsia"/>
        </w:rPr>
      </w:pPr>
    </w:p>
    <w:p w14:paraId="0C31A053">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09488300">
      <w:pPr>
        <w:widowControl/>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4BF1D714">
      <w:pPr>
        <w:rPr>
          <w:rFonts w:hint="eastAsia" w:ascii="方正仿宋_GBK" w:hAnsi="方正仿宋_GBK" w:eastAsia="方正仿宋_GBK" w:cs="方正仿宋_GBK"/>
          <w:b/>
          <w:sz w:val="24"/>
          <w:szCs w:val="24"/>
          <w:lang w:val="en-US" w:eastAsia="zh-CN"/>
        </w:rPr>
      </w:pPr>
    </w:p>
    <w:p w14:paraId="5794BB76">
      <w:pPr>
        <w:rPr>
          <w:rFonts w:hint="eastAsia" w:ascii="方正仿宋_GBK" w:hAnsi="方正仿宋_GBK" w:eastAsia="方正仿宋_GBK" w:cs="方正仿宋_GBK"/>
          <w:b/>
          <w:sz w:val="24"/>
          <w:szCs w:val="24"/>
          <w:lang w:val="en-US" w:eastAsia="zh-CN"/>
        </w:rPr>
      </w:pPr>
    </w:p>
    <w:p w14:paraId="3095F848">
      <w:pPr>
        <w:rPr>
          <w:rFonts w:hint="eastAsia" w:ascii="方正仿宋_GBK" w:hAnsi="方正仿宋_GBK" w:eastAsia="方正仿宋_GBK" w:cs="方正仿宋_GBK"/>
          <w:b/>
          <w:sz w:val="24"/>
          <w:szCs w:val="24"/>
          <w:lang w:val="en-US" w:eastAsia="zh-CN"/>
        </w:rPr>
      </w:pPr>
    </w:p>
    <w:p w14:paraId="69134B44">
      <w:pPr>
        <w:rPr>
          <w:rFonts w:hint="eastAsia" w:ascii="方正仿宋_GBK" w:hAnsi="方正仿宋_GBK" w:eastAsia="方正仿宋_GBK" w:cs="方正仿宋_GBK"/>
          <w:b/>
          <w:sz w:val="24"/>
          <w:szCs w:val="24"/>
          <w:lang w:val="en-US" w:eastAsia="zh-CN"/>
        </w:rPr>
      </w:pPr>
    </w:p>
    <w:p w14:paraId="0C3B80B9">
      <w:pPr>
        <w:rPr>
          <w:rFonts w:hint="eastAsia" w:ascii="方正仿宋_GBK" w:hAnsi="方正仿宋_GBK" w:eastAsia="方正仿宋_GBK" w:cs="方正仿宋_GBK"/>
          <w:b/>
          <w:sz w:val="24"/>
          <w:szCs w:val="24"/>
          <w:lang w:val="en-US" w:eastAsia="zh-CN"/>
        </w:rPr>
      </w:pPr>
    </w:p>
    <w:p w14:paraId="00D6102B">
      <w:pPr>
        <w:rPr>
          <w:rFonts w:hint="eastAsia" w:ascii="方正仿宋_GBK" w:hAnsi="方正仿宋_GBK" w:eastAsia="方正仿宋_GBK" w:cs="方正仿宋_GBK"/>
          <w:b/>
          <w:sz w:val="24"/>
          <w:szCs w:val="24"/>
          <w:lang w:val="en-US" w:eastAsia="zh-CN"/>
        </w:rPr>
      </w:pPr>
    </w:p>
    <w:p w14:paraId="64D15AFC">
      <w:pPr>
        <w:rPr>
          <w:rFonts w:hint="eastAsia" w:ascii="方正仿宋_GBK" w:hAnsi="方正仿宋_GBK" w:eastAsia="方正仿宋_GBK" w:cs="方正仿宋_GBK"/>
          <w:b/>
          <w:sz w:val="24"/>
          <w:szCs w:val="24"/>
          <w:lang w:val="en-US" w:eastAsia="zh-CN"/>
        </w:rPr>
      </w:pPr>
    </w:p>
    <w:p w14:paraId="186421E0">
      <w:pPr>
        <w:rPr>
          <w:rFonts w:hint="eastAsia" w:ascii="方正仿宋_GBK" w:hAnsi="方正仿宋_GBK" w:eastAsia="方正仿宋_GBK" w:cs="方正仿宋_GBK"/>
          <w:b/>
          <w:sz w:val="24"/>
          <w:szCs w:val="24"/>
          <w:lang w:val="en-US" w:eastAsia="zh-CN"/>
        </w:rPr>
      </w:pPr>
    </w:p>
    <w:p w14:paraId="79BBFBF0">
      <w:pPr>
        <w:rPr>
          <w:rFonts w:hint="eastAsia" w:ascii="方正仿宋_GBK" w:hAnsi="方正仿宋_GBK" w:eastAsia="方正仿宋_GBK" w:cs="方正仿宋_GBK"/>
          <w:b/>
          <w:sz w:val="24"/>
          <w:szCs w:val="24"/>
          <w:lang w:val="en-US" w:eastAsia="zh-CN"/>
        </w:rPr>
      </w:pPr>
    </w:p>
    <w:p w14:paraId="3CFAF453">
      <w:pPr>
        <w:rPr>
          <w:rFonts w:hint="eastAsia" w:ascii="方正仿宋_GBK" w:hAnsi="方正仿宋_GBK" w:eastAsia="方正仿宋_GBK" w:cs="方正仿宋_GBK"/>
          <w:b/>
          <w:sz w:val="24"/>
          <w:szCs w:val="24"/>
          <w:lang w:val="en-US" w:eastAsia="zh-CN"/>
        </w:rPr>
      </w:pPr>
    </w:p>
    <w:p w14:paraId="70A26C93">
      <w:pPr>
        <w:rPr>
          <w:rFonts w:hint="eastAsia" w:ascii="方正仿宋_GBK" w:hAnsi="方正仿宋_GBK" w:eastAsia="方正仿宋_GBK" w:cs="方正仿宋_GBK"/>
          <w:b/>
          <w:sz w:val="24"/>
          <w:szCs w:val="24"/>
          <w:lang w:val="en-US" w:eastAsia="zh-CN"/>
        </w:rPr>
      </w:pPr>
    </w:p>
    <w:p w14:paraId="06D0763D">
      <w:pPr>
        <w:rPr>
          <w:rFonts w:hint="eastAsia" w:ascii="方正仿宋_GBK" w:hAnsi="方正仿宋_GBK" w:eastAsia="方正仿宋_GBK" w:cs="方正仿宋_GBK"/>
          <w:b/>
          <w:sz w:val="24"/>
          <w:szCs w:val="24"/>
          <w:lang w:val="en-US" w:eastAsia="zh-CN"/>
        </w:rPr>
      </w:pPr>
    </w:p>
    <w:p w14:paraId="03924E4A">
      <w:pPr>
        <w:rPr>
          <w:rFonts w:hint="eastAsia" w:ascii="方正仿宋_GBK" w:hAnsi="方正仿宋_GBK" w:eastAsia="方正仿宋_GBK" w:cs="方正仿宋_GBK"/>
          <w:b/>
          <w:sz w:val="24"/>
          <w:szCs w:val="24"/>
          <w:lang w:val="en-US" w:eastAsia="zh-CN"/>
        </w:rPr>
      </w:pPr>
    </w:p>
    <w:p w14:paraId="36546CA5">
      <w:pPr>
        <w:rPr>
          <w:rFonts w:hint="eastAsia" w:ascii="方正仿宋_GBK" w:hAnsi="方正仿宋_GBK" w:eastAsia="方正仿宋_GBK" w:cs="方正仿宋_GBK"/>
          <w:b/>
          <w:sz w:val="24"/>
          <w:szCs w:val="24"/>
          <w:lang w:val="en-US" w:eastAsia="zh-CN"/>
        </w:rPr>
      </w:pPr>
    </w:p>
    <w:p w14:paraId="59E9DC71">
      <w:pPr>
        <w:rPr>
          <w:rFonts w:hint="eastAsia" w:ascii="方正仿宋_GBK" w:hAnsi="方正仿宋_GBK" w:eastAsia="方正仿宋_GBK" w:cs="方正仿宋_GBK"/>
          <w:b/>
          <w:sz w:val="24"/>
          <w:szCs w:val="24"/>
          <w:lang w:val="en-US" w:eastAsia="zh-CN"/>
        </w:rPr>
      </w:pPr>
    </w:p>
    <w:p w14:paraId="602920C7">
      <w:pPr>
        <w:rPr>
          <w:rFonts w:hint="eastAsia" w:ascii="方正仿宋_GBK" w:hAnsi="方正仿宋_GBK" w:eastAsia="方正仿宋_GBK" w:cs="方正仿宋_GBK"/>
          <w:b/>
          <w:sz w:val="24"/>
          <w:szCs w:val="24"/>
          <w:lang w:val="en-US" w:eastAsia="zh-CN"/>
        </w:rPr>
      </w:pPr>
    </w:p>
    <w:p w14:paraId="4BFA4E0E">
      <w:pPr>
        <w:rPr>
          <w:rFonts w:hint="eastAsia" w:ascii="方正仿宋_GBK" w:hAnsi="方正仿宋_GBK" w:eastAsia="方正仿宋_GBK" w:cs="方正仿宋_GBK"/>
          <w:b/>
          <w:sz w:val="24"/>
          <w:szCs w:val="24"/>
          <w:lang w:val="en-US" w:eastAsia="zh-CN"/>
        </w:rPr>
      </w:pPr>
    </w:p>
    <w:p w14:paraId="18E066A1">
      <w:pPr>
        <w:rPr>
          <w:rFonts w:hint="eastAsia" w:ascii="方正仿宋_GBK" w:hAnsi="方正仿宋_GBK" w:eastAsia="方正仿宋_GBK" w:cs="方正仿宋_GBK"/>
          <w:b/>
          <w:sz w:val="24"/>
          <w:szCs w:val="24"/>
          <w:lang w:val="en-US" w:eastAsia="zh-CN"/>
        </w:rPr>
      </w:pPr>
    </w:p>
    <w:p w14:paraId="14587E8E">
      <w:pPr>
        <w:rPr>
          <w:rFonts w:hint="eastAsia" w:ascii="方正仿宋_GBK" w:hAnsi="方正仿宋_GBK" w:eastAsia="方正仿宋_GBK" w:cs="方正仿宋_GBK"/>
          <w:b/>
          <w:sz w:val="24"/>
          <w:szCs w:val="24"/>
          <w:lang w:val="en-US" w:eastAsia="zh-CN"/>
        </w:rPr>
      </w:pPr>
    </w:p>
    <w:p w14:paraId="617C0566">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0"/>
    <w:p w14:paraId="2A1138C2">
      <w:pPr>
        <w:tabs>
          <w:tab w:val="left" w:pos="6300"/>
        </w:tabs>
        <w:snapToGrid w:val="0"/>
        <w:rPr>
          <w:rFonts w:ascii="方正仿宋_GBK" w:hAnsi="方正仿宋_GBK" w:eastAsia="方正仿宋_GBK" w:cs="方正仿宋_GBK"/>
          <w:b/>
          <w:sz w:val="24"/>
          <w:szCs w:val="24"/>
        </w:rPr>
      </w:pPr>
      <w:bookmarkStart w:id="21" w:name="_Toc9726"/>
      <w:bookmarkStart w:id="22" w:name="_Toc477027621"/>
      <w:bookmarkStart w:id="23"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1"/>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4" w:name="_Toc4879"/>
      <w:r>
        <w:rPr>
          <w:rFonts w:hint="eastAsia" w:ascii="方正仿宋_GBK" w:hAnsi="方正仿宋_GBK" w:eastAsia="方正仿宋_GBK" w:cs="方正仿宋_GBK"/>
          <w:b/>
          <w:bCs/>
          <w:sz w:val="27"/>
          <w:szCs w:val="32"/>
          <w:lang w:val="en-US" w:eastAsia="zh-CN"/>
        </w:rPr>
        <w:t>九</w:t>
      </w:r>
      <w:r>
        <w:rPr>
          <w:rFonts w:hint="eastAsia" w:ascii="方正仿宋_GBK" w:hAnsi="方正仿宋_GBK" w:eastAsia="方正仿宋_GBK" w:cs="方正仿宋_GBK"/>
          <w:b/>
          <w:sz w:val="24"/>
          <w:szCs w:val="24"/>
        </w:rPr>
        <w:t>、商务条款差异表</w:t>
      </w:r>
      <w:bookmarkEnd w:id="24"/>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5"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5"/>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2"/>
    <w:bookmarkEnd w:id="23"/>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0569C"/>
    <w:multiLevelType w:val="singleLevel"/>
    <w:tmpl w:val="A3A0569C"/>
    <w:lvl w:ilvl="0" w:tentative="0">
      <w:start w:val="6"/>
      <w:numFmt w:val="chineseCounting"/>
      <w:suff w:val="nothing"/>
      <w:lvlText w:val="%1、"/>
      <w:lvlJc w:val="left"/>
      <w:rPr>
        <w:rFonts w:hint="eastAsia"/>
      </w:rPr>
    </w:lvl>
  </w:abstractNum>
  <w:abstractNum w:abstractNumId="1">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044C13"/>
    <w:rsid w:val="03886894"/>
    <w:rsid w:val="040D3015"/>
    <w:rsid w:val="050246A7"/>
    <w:rsid w:val="075C35E2"/>
    <w:rsid w:val="07F537BE"/>
    <w:rsid w:val="09293C1C"/>
    <w:rsid w:val="0AB3797D"/>
    <w:rsid w:val="0B3010BA"/>
    <w:rsid w:val="0B642CE9"/>
    <w:rsid w:val="0B732CEA"/>
    <w:rsid w:val="0B8C422C"/>
    <w:rsid w:val="0BAE757D"/>
    <w:rsid w:val="0C6F257F"/>
    <w:rsid w:val="0D592931"/>
    <w:rsid w:val="0E774B37"/>
    <w:rsid w:val="0EDB66DD"/>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3B97B7D"/>
    <w:rsid w:val="24591A37"/>
    <w:rsid w:val="249513B3"/>
    <w:rsid w:val="26372EFE"/>
    <w:rsid w:val="27070CA1"/>
    <w:rsid w:val="270F3FF9"/>
    <w:rsid w:val="28077B81"/>
    <w:rsid w:val="28321D4D"/>
    <w:rsid w:val="293F3BD0"/>
    <w:rsid w:val="2A344B97"/>
    <w:rsid w:val="2ADB5CCE"/>
    <w:rsid w:val="2B3247EE"/>
    <w:rsid w:val="2CAC08A7"/>
    <w:rsid w:val="2DA41B2C"/>
    <w:rsid w:val="2E505C0F"/>
    <w:rsid w:val="2E8452CD"/>
    <w:rsid w:val="2ED44778"/>
    <w:rsid w:val="309D4424"/>
    <w:rsid w:val="319D2B7A"/>
    <w:rsid w:val="31C808B4"/>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5975B2F"/>
    <w:rsid w:val="46A55988"/>
    <w:rsid w:val="48074AA5"/>
    <w:rsid w:val="48EA42C6"/>
    <w:rsid w:val="4A3930F3"/>
    <w:rsid w:val="4AED7BC5"/>
    <w:rsid w:val="4C3E42DF"/>
    <w:rsid w:val="4D155616"/>
    <w:rsid w:val="4DDD0570"/>
    <w:rsid w:val="4DFC79FB"/>
    <w:rsid w:val="4E3450A1"/>
    <w:rsid w:val="50711E84"/>
    <w:rsid w:val="50897E60"/>
    <w:rsid w:val="50D5061B"/>
    <w:rsid w:val="519A3A0B"/>
    <w:rsid w:val="52640910"/>
    <w:rsid w:val="52E76502"/>
    <w:rsid w:val="532479B4"/>
    <w:rsid w:val="53CF09E6"/>
    <w:rsid w:val="54CA6783"/>
    <w:rsid w:val="54ED2B20"/>
    <w:rsid w:val="57A74DE0"/>
    <w:rsid w:val="57B1418D"/>
    <w:rsid w:val="57D367F9"/>
    <w:rsid w:val="584F3B55"/>
    <w:rsid w:val="595D1A5F"/>
    <w:rsid w:val="59C7413C"/>
    <w:rsid w:val="5A0E2EF6"/>
    <w:rsid w:val="5AA62E48"/>
    <w:rsid w:val="5B433E2C"/>
    <w:rsid w:val="5B8B0992"/>
    <w:rsid w:val="5BC20118"/>
    <w:rsid w:val="5C9B1B86"/>
    <w:rsid w:val="5D755C5D"/>
    <w:rsid w:val="5E140461"/>
    <w:rsid w:val="600E201D"/>
    <w:rsid w:val="602F210D"/>
    <w:rsid w:val="61865E2A"/>
    <w:rsid w:val="61C56B56"/>
    <w:rsid w:val="62B341DC"/>
    <w:rsid w:val="63C92918"/>
    <w:rsid w:val="64623876"/>
    <w:rsid w:val="64A53C67"/>
    <w:rsid w:val="64B12E90"/>
    <w:rsid w:val="64FE2BB3"/>
    <w:rsid w:val="662750D1"/>
    <w:rsid w:val="679F2A2E"/>
    <w:rsid w:val="67EC4D0C"/>
    <w:rsid w:val="67FB1A94"/>
    <w:rsid w:val="684014B1"/>
    <w:rsid w:val="68DE65B8"/>
    <w:rsid w:val="699D49E1"/>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55402D"/>
    <w:rsid w:val="76714C77"/>
    <w:rsid w:val="7852034C"/>
    <w:rsid w:val="78A8232B"/>
    <w:rsid w:val="79497752"/>
    <w:rsid w:val="795A0C9B"/>
    <w:rsid w:val="79C964C0"/>
    <w:rsid w:val="79E2472F"/>
    <w:rsid w:val="7A235449"/>
    <w:rsid w:val="7A7E5C42"/>
    <w:rsid w:val="7A8A28F0"/>
    <w:rsid w:val="7A8A7445"/>
    <w:rsid w:val="7A9A5207"/>
    <w:rsid w:val="7B91123C"/>
    <w:rsid w:val="7BC745A4"/>
    <w:rsid w:val="7D2D7D3B"/>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Words>
  <Characters>77</Characters>
  <Lines>159</Lines>
  <Paragraphs>45</Paragraphs>
  <TotalTime>3</TotalTime>
  <ScaleCrop>false</ScaleCrop>
  <LinksUpToDate>false</LinksUpToDate>
  <CharactersWithSpaces>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2026-05-28T03:39:18Z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