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default" w:ascii="方正黑体_GBK" w:hAnsi="黑体" w:eastAsia="方正黑体_GBK" w:cs="Times New Roman"/>
          <w:b w:val="0"/>
          <w:sz w:val="36"/>
          <w:szCs w:val="30"/>
          <w:lang w:val="en-US"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医务科智能手机</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7</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3435"/>
        <w:gridCol w:w="2062"/>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111"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3435"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062"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111"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医务科智能手机</w:t>
            </w:r>
          </w:p>
        </w:tc>
        <w:tc>
          <w:tcPr>
            <w:tcW w:w="3435"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24000</w:t>
            </w:r>
          </w:p>
        </w:tc>
        <w:tc>
          <w:tcPr>
            <w:tcW w:w="2062"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eastAsia" w:ascii="仿宋" w:eastAsia="黑体" w:cs="仿宋"/>
          <w:b/>
          <w:bCs/>
          <w:color w:val="000000"/>
          <w:lang w:eastAsia="zh-CN"/>
        </w:rPr>
      </w:pPr>
      <w:r>
        <w:rPr>
          <w:rFonts w:hint="eastAsia" w:ascii="宋体" w:hAnsi="宋体" w:eastAsia="黑体" w:cs="宋体"/>
          <w:b/>
          <w:sz w:val="28"/>
        </w:rPr>
        <w:t>三、</w:t>
      </w:r>
      <w:bookmarkStart w:id="0" w:name="_Toc26735"/>
      <w:bookmarkStart w:id="1" w:name="_Toc464637619"/>
      <w:bookmarkStart w:id="2" w:name="_Toc416792603"/>
      <w:bookmarkStart w:id="3" w:name="_Toc433726022"/>
      <w:bookmarkStart w:id="4" w:name="_Toc267320049"/>
      <w:bookmarkStart w:id="5" w:name="_Toc23014"/>
      <w:bookmarkStart w:id="6" w:name="_Toc514962183"/>
      <w:r>
        <w:rPr>
          <w:rFonts w:hint="eastAsia" w:ascii="宋体" w:hAnsi="宋体" w:eastAsia="黑体" w:cs="宋体"/>
          <w:b/>
          <w:sz w:val="28"/>
          <w:lang w:val="en-US" w:eastAsia="zh-CN"/>
        </w:rPr>
        <w:t>技术要求</w:t>
      </w:r>
    </w:p>
    <w:p w14:paraId="7C693D5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机型：参考荣耀Paly 10T,数量;24台。</w:t>
      </w:r>
    </w:p>
    <w:p w14:paraId="202F874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（一）</w:t>
      </w:r>
      <w:r>
        <w:rPr>
          <w:rFonts w:hint="default" w:ascii="仿宋" w:hAnsi="仿宋" w:eastAsia="仿宋" w:cs="仿宋"/>
          <w:sz w:val="24"/>
          <w:szCs w:val="24"/>
          <w:lang w:val="en-US" w:eastAsia="zh-CN"/>
        </w:rPr>
        <w:t>基础信息</w:t>
      </w:r>
    </w:p>
    <w:p w14:paraId="771F3D6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存储版本：</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12+256G</w:t>
      </w:r>
    </w:p>
    <w:p w14:paraId="4125506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（二）</w:t>
      </w:r>
      <w:r>
        <w:rPr>
          <w:rFonts w:hint="default" w:ascii="仿宋" w:hAnsi="仿宋" w:eastAsia="仿宋" w:cs="仿宋"/>
          <w:sz w:val="24"/>
          <w:szCs w:val="24"/>
          <w:lang w:val="en-US" w:eastAsia="zh-CN"/>
        </w:rPr>
        <w:t>性能核心</w:t>
      </w:r>
    </w:p>
    <w:p w14:paraId="4FA080C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处理器：</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第三代骁龙 6s（6nm 工艺）</w:t>
      </w:r>
    </w:p>
    <w:p w14:paraId="69997CF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2 颗 A78 2.3GHz + 6 颗 A55 2.0GHz，5G 全网通双卡双待</w:t>
      </w:r>
    </w:p>
    <w:p w14:paraId="30B8C61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内存规格：LPDDR4X + UFS 2.2</w:t>
      </w:r>
    </w:p>
    <w:p w14:paraId="54342CE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系统：MagicOS（支持 Yoyo AI 一键直达、AI 助理）</w:t>
      </w:r>
    </w:p>
    <w:p w14:paraId="5A016AF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屏幕配置</w:t>
      </w:r>
    </w:p>
    <w:p w14:paraId="1214E5D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尺寸：</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6.8 英寸 LCD 直屏</w:t>
      </w:r>
    </w:p>
    <w:p w14:paraId="2DC686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分辨率：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2412 × 1080（FHD+）</w:t>
      </w:r>
    </w:p>
    <w:p w14:paraId="646FF0B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刷新率：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120Hz 自适应高刷</w:t>
      </w:r>
    </w:p>
    <w:p w14:paraId="055DD8D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护眼：全程 DC 调光、类自然光护眼，低蓝光</w:t>
      </w:r>
    </w:p>
    <w:p w14:paraId="7384639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触控采样率：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180Hz</w:t>
      </w:r>
    </w:p>
    <w:p w14:paraId="16B83B4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（四）</w:t>
      </w:r>
      <w:r>
        <w:rPr>
          <w:rFonts w:hint="default" w:ascii="仿宋" w:hAnsi="仿宋" w:eastAsia="仿宋" w:cs="仿宋"/>
          <w:sz w:val="24"/>
          <w:szCs w:val="24"/>
          <w:lang w:val="en-US" w:eastAsia="zh-CN"/>
        </w:rPr>
        <w:t>续航充电</w:t>
      </w:r>
    </w:p>
    <w:p w14:paraId="5A7777A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电池：</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7000mAh 超大电池（典型值）</w:t>
      </w:r>
    </w:p>
    <w:p w14:paraId="7F69B5D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有线快充：</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45W 超级快充</w:t>
      </w:r>
    </w:p>
    <w:p w14:paraId="3DFF32E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（五）</w:t>
      </w:r>
      <w:r>
        <w:rPr>
          <w:rFonts w:hint="default" w:ascii="仿宋" w:hAnsi="仿宋" w:eastAsia="仿宋" w:cs="仿宋"/>
          <w:sz w:val="24"/>
          <w:szCs w:val="24"/>
          <w:lang w:val="en-US" w:eastAsia="zh-CN"/>
        </w:rPr>
        <w:t>影像系统</w:t>
      </w:r>
    </w:p>
    <w:p w14:paraId="510E0AC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后置三摄</w:t>
      </w:r>
    </w:p>
    <w:p w14:paraId="2A9A39C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5000 万像素主摄，f/1.8 光圈，支持 EIS 电子防抖</w:t>
      </w:r>
    </w:p>
    <w:p w14:paraId="33B294F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200 万像素景深镜头</w:t>
      </w:r>
    </w:p>
    <w:p w14:paraId="4BA1B79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200 万像素微距镜头</w:t>
      </w:r>
    </w:p>
    <w:p w14:paraId="18CB180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支持 AI 夜景、人像模式、1080P 视频录制</w:t>
      </w:r>
    </w:p>
    <w:p w14:paraId="398D331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前置</w:t>
      </w:r>
    </w:p>
    <w:p w14:paraId="09BAD1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500 万像素自拍镜头，f/2.2 光圈，支持人脸解锁、AI 美颜</w:t>
      </w:r>
    </w:p>
    <w:p w14:paraId="69B1E2A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（六）</w:t>
      </w:r>
      <w:r>
        <w:rPr>
          <w:rFonts w:hint="default" w:ascii="仿宋" w:hAnsi="仿宋" w:eastAsia="仿宋" w:cs="仿宋"/>
          <w:sz w:val="24"/>
          <w:szCs w:val="24"/>
          <w:lang w:val="en-US" w:eastAsia="zh-CN"/>
        </w:rPr>
        <w:t>防护与机身</w:t>
      </w:r>
    </w:p>
    <w:p w14:paraId="1EA8010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防水：基础生活防水泼溅</w:t>
      </w:r>
    </w:p>
    <w:p w14:paraId="320FCFE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机身：塑料后盖 + 中框，轻量化设计</w:t>
      </w:r>
    </w:p>
    <w:p w14:paraId="6DE4C72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音效：立体声双扬声器，大音量外放</w:t>
      </w:r>
    </w:p>
    <w:p w14:paraId="4FF3531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（七）</w:t>
      </w:r>
      <w:r>
        <w:rPr>
          <w:rFonts w:hint="default" w:ascii="仿宋" w:hAnsi="仿宋" w:eastAsia="仿宋" w:cs="仿宋"/>
          <w:sz w:val="24"/>
          <w:szCs w:val="24"/>
          <w:lang w:val="en-US" w:eastAsia="zh-CN"/>
        </w:rPr>
        <w:t>基础功能</w:t>
      </w:r>
    </w:p>
    <w:p w14:paraId="1F27872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解锁：人脸解锁 + 指纹</w:t>
      </w:r>
    </w:p>
    <w:p w14:paraId="27F2D30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连接：Wi-Fi 5、蓝牙 5.2、Type-C 接口、3.5mm 耳机孔保留</w:t>
      </w:r>
    </w:p>
    <w:p w14:paraId="4A0606C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其他：GPS、OTG、无 NFC</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四、实施（交货）时间、地点及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实施（交货）时间</w:t>
      </w:r>
    </w:p>
    <w:p w14:paraId="3613CA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合同签订后3日历天内交货并完成安装调试。</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433726023"/>
      <w:bookmarkStart w:id="8" w:name="_Toc464637620"/>
      <w:bookmarkStart w:id="9" w:name="_Toc19132"/>
      <w:bookmarkStart w:id="10" w:name="_Toc267320050"/>
      <w:r>
        <w:rPr>
          <w:rFonts w:hint="eastAsia" w:ascii="仿宋" w:eastAsia="仿宋" w:cs="仿宋"/>
          <w:sz w:val="24"/>
          <w:szCs w:val="24"/>
          <w:rtl w:val="0"/>
          <w:lang w:val="en-US" w:eastAsia="zh-CN"/>
        </w:rPr>
        <w:t>（三）验收方式：</w:t>
      </w:r>
    </w:p>
    <w:p w14:paraId="628D8F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属于国家强制性认证产品的需提供认证相关资料，如未提供，则不予验收。</w:t>
      </w:r>
    </w:p>
    <w:p w14:paraId="27841D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1、验收标准：按国家、地区、行业中最高的有关标准和技术协议。</w:t>
      </w:r>
    </w:p>
    <w:p w14:paraId="5B4B3D1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货物到达收货地点后需方应对货物的数量、外观质量进行点验。验收前，供方应当向需方提交出厂合格证、使用说明书或操作手册、质量检验证明书、随配附件和工具以及清单等。若货物发生缺、损或与合同规定不符，需方有权拒绝接收，交货期不予顺延。供方应尽快负责补足或更换。</w:t>
      </w:r>
    </w:p>
    <w:p w14:paraId="23BB8A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hAnsi="仿宋" w:eastAsia="仿宋" w:cs="仿宋"/>
          <w:sz w:val="24"/>
          <w:lang w:val="en-US" w:eastAsia="zh-CN"/>
        </w:rPr>
        <w:t>3、需方的验收和收货，只代表常规的检测验收，不免除供方对产品内在质量的责任，不排除供方的其他义务。</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0FAEE1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33726024"/>
      <w:bookmarkStart w:id="12" w:name="_Toc13737"/>
      <w:bookmarkStart w:id="13" w:name="_Toc464637621"/>
      <w:bookmarkStart w:id="14" w:name="_Toc464637622"/>
      <w:bookmarkStart w:id="15" w:name="_Toc267320051"/>
      <w:bookmarkStart w:id="16" w:name="_Toc433726026"/>
      <w:r>
        <w:rPr>
          <w:rFonts w:hint="eastAsia" w:ascii="仿宋" w:hAnsi="仿宋" w:eastAsia="仿宋" w:cs="仿宋"/>
          <w:sz w:val="24"/>
          <w:lang w:val="en-US" w:eastAsia="zh-CN"/>
        </w:rPr>
        <w:t>本次报价须为人民币报价，包含：货物、技术资料、货物的税费、运输费、安装费、保险费、包装费、装卸费、辅材费、培训费、相关系统接口费与货物有关的供方应纳的税费、售后服务费以及有关的其他费用等货到采购人指定地点的所有费用，进口产品填报含税价。</w:t>
      </w:r>
      <w:r>
        <w:rPr>
          <w:rFonts w:hint="eastAsia" w:ascii="仿宋" w:eastAsia="仿宋" w:cs="仿宋"/>
          <w:sz w:val="24"/>
          <w:szCs w:val="24"/>
          <w:rtl w:val="0"/>
          <w:lang w:val="en-US" w:eastAsia="zh-CN"/>
        </w:rPr>
        <w:t>因供应商自身原因造成漏报、少报皆由供应商自行承担责任，采购人不再补偿。</w:t>
      </w:r>
    </w:p>
    <w:p w14:paraId="2A0A0D12">
      <w:pPr>
        <w:keepNext/>
        <w:keepLines/>
        <w:widowControl/>
        <w:adjustRightInd w:val="0"/>
        <w:snapToGrid w:val="0"/>
        <w:spacing w:before="48" w:beforeLines="20" w:after="48" w:afterLines="20"/>
        <w:ind w:firstLine="394" w:firstLineChars="140"/>
        <w:jc w:val="left"/>
        <w:outlineLvl w:val="1"/>
        <w:rPr>
          <w:rFonts w:hint="default"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Start w:id="17" w:name="_Toc24020"/>
      <w:r>
        <w:rPr>
          <w:rFonts w:hint="eastAsia" w:ascii="宋体" w:hAnsi="宋体" w:eastAsia="黑体" w:cs="宋体"/>
          <w:b/>
          <w:sz w:val="28"/>
          <w:lang w:val="en-US" w:eastAsia="zh-CN"/>
        </w:rPr>
        <w:t>质保期</w:t>
      </w:r>
    </w:p>
    <w:bookmarkEnd w:id="14"/>
    <w:bookmarkEnd w:id="15"/>
    <w:bookmarkEnd w:id="16"/>
    <w:bookmarkEnd w:id="17"/>
    <w:p w14:paraId="3B286E4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8" w:name="_Toc416792607"/>
      <w:bookmarkStart w:id="19" w:name="_Toc3963"/>
      <w:bookmarkStart w:id="20" w:name="_Toc433726028"/>
      <w:bookmarkStart w:id="21" w:name="_Toc464637624"/>
      <w:r>
        <w:rPr>
          <w:rFonts w:hint="eastAsia" w:ascii="仿宋" w:eastAsia="仿宋" w:cs="仿宋"/>
          <w:sz w:val="24"/>
          <w:szCs w:val="24"/>
          <w:rtl w:val="0"/>
          <w:lang w:val="en-US" w:eastAsia="zh-CN"/>
        </w:rPr>
        <w:t>整机全国联保1年，保修期从产品确认收货并验收合格之日起算。如供方不履行维修义务，需方有权另请第三方，由供方承担第三方维修费用。</w:t>
      </w:r>
    </w:p>
    <w:p w14:paraId="24F04AA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七、售后服务方案</w:t>
      </w:r>
    </w:p>
    <w:p w14:paraId="77DA17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1、投标人和制造商在质量保证期内应当为采购人提供以下技术支持和服务：</w:t>
      </w:r>
    </w:p>
    <w:p w14:paraId="42B87C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w:t>
      </w:r>
    </w:p>
    <w:p w14:paraId="7F6C13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中标人应当为采购人提供技术援助电话，解答采购人在使用中遇到的问题，及时为采购人提出解决问题的建议。</w:t>
      </w:r>
    </w:p>
    <w:p w14:paraId="54902C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w:t>
      </w:r>
    </w:p>
    <w:p w14:paraId="44C406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遇到使用及技术问题，电话咨询不能解决的，中标人应在2小时内到达现场（远郊区4小时内到达现场）进行处理，确保产品正常工作；无法在12小时内解决的，应在24小时内提供备用产品，使采购人能够正常使用。质保期内因售后服务不及时而造成重大损失和影响的，采购方有权拒绝支付余款。</w:t>
      </w:r>
    </w:p>
    <w:p w14:paraId="79E0806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2、质保期外服务要求</w:t>
      </w:r>
    </w:p>
    <w:p w14:paraId="40EDD1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质量保证期过后，供应商和制造商应同样提供免费电话咨询服务，并应承诺提供产品上门维护服务。</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八、付款方式</w:t>
      </w:r>
    </w:p>
    <w:p w14:paraId="459E0F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default" w:ascii="仿宋" w:eastAsia="仿宋" w:cs="仿宋"/>
          <w:sz w:val="24"/>
          <w:szCs w:val="24"/>
          <w:rtl w:val="0"/>
          <w:lang w:val="en-US" w:eastAsia="zh-CN"/>
        </w:rPr>
      </w:pPr>
      <w:bookmarkStart w:id="22" w:name="_Toc267320052"/>
      <w:bookmarkStart w:id="23" w:name="_Toc417893344"/>
      <w:r>
        <w:rPr>
          <w:rFonts w:hint="eastAsia" w:ascii="仿宋" w:eastAsia="仿宋" w:cs="仿宋"/>
          <w:sz w:val="24"/>
          <w:szCs w:val="24"/>
          <w:rtl w:val="0"/>
          <w:lang w:val="en-US" w:eastAsia="zh-CN"/>
        </w:rPr>
        <w:t>合同签订时，所送的货物生产日期不得超过合同签订日期前6个月。</w:t>
      </w:r>
    </w:p>
    <w:p w14:paraId="3396B0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货物安装到位，验收合格后，中标方开具正规发票，采购方收到发票后30个工作日内转账支付。</w:t>
      </w:r>
      <w:bookmarkEnd w:id="22"/>
      <w:bookmarkEnd w:id="23"/>
    </w:p>
    <w:p w14:paraId="6E61303B">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九、培训</w:t>
      </w:r>
    </w:p>
    <w:p w14:paraId="7389D4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供应商对其提供的所有投标产品的安装、调试、使用、常见故障的排除、日常的维护等应尽免费培训的义务；使采购人和项目单位的使用人员能够正常操作。</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十</w:t>
      </w:r>
      <w:r>
        <w:rPr>
          <w:rFonts w:hint="eastAsia" w:ascii="宋体" w:hAnsi="宋体" w:eastAsia="黑体" w:cs="宋体"/>
          <w:b/>
          <w:sz w:val="28"/>
        </w:rPr>
        <w:t>、</w:t>
      </w:r>
      <w:r>
        <w:rPr>
          <w:rFonts w:hint="eastAsia" w:ascii="宋体" w:hAnsi="宋体" w:eastAsia="黑体" w:cs="宋体"/>
          <w:b/>
          <w:sz w:val="28"/>
          <w:rtl w:val="0"/>
          <w:lang w:val="en-US" w:eastAsia="zh-CN"/>
        </w:rPr>
        <w:t>知识产权</w:t>
      </w:r>
      <w:bookmarkEnd w:id="18"/>
      <w:bookmarkEnd w:id="19"/>
      <w:bookmarkEnd w:id="20"/>
      <w:bookmarkEnd w:id="21"/>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color w:val="000000"/>
          <w:sz w:val="28"/>
          <w:lang w:val="en-US" w:eastAsia="zh-CN"/>
        </w:rPr>
        <w:t>十一</w:t>
      </w:r>
      <w:r>
        <w:rPr>
          <w:rFonts w:hint="eastAsia" w:ascii="宋体" w:hAnsi="宋体" w:eastAsia="黑体" w:cs="宋体"/>
          <w:b/>
          <w:color w:val="000000"/>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sz w:val="28"/>
          <w:lang w:val="en-US" w:eastAsia="zh-CN"/>
        </w:rPr>
        <w:t>十二、</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2、报名截止时间2026年7月15日15：3</w:t>
      </w:r>
      <w:bookmarkStart w:id="31" w:name="_GoBack"/>
      <w:bookmarkEnd w:id="31"/>
      <w:r>
        <w:rPr>
          <w:rFonts w:hint="eastAsia" w:ascii="仿宋" w:eastAsia="仿宋" w:cs="仿宋"/>
          <w:sz w:val="24"/>
          <w:szCs w:val="24"/>
          <w:rtl w:val="0"/>
          <w:lang w:val="en-US" w:eastAsia="zh-CN"/>
        </w:rPr>
        <w:t>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十三</w:t>
      </w:r>
      <w:r>
        <w:rPr>
          <w:rFonts w:hint="eastAsia" w:ascii="宋体" w:hAnsi="宋体" w:eastAsia="黑体" w:cs="宋体"/>
          <w:b/>
          <w:sz w:val="28"/>
        </w:rPr>
        <w:t>、</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十四、</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4"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4"/>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十五、其他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5"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16"/>
        <w:rPr>
          <w:rFonts w:hint="eastAsia" w:ascii="宋体" w:hAnsi="宋体" w:eastAsia="黑体" w:cs="宋体"/>
          <w:b/>
          <w:sz w:val="30"/>
          <w:szCs w:val="28"/>
        </w:rPr>
      </w:pPr>
    </w:p>
    <w:p w14:paraId="60F0DD25">
      <w:pPr>
        <w:pStyle w:val="16"/>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5"/>
    <w:p w14:paraId="0680E571">
      <w:pPr>
        <w:tabs>
          <w:tab w:val="left" w:pos="6300"/>
        </w:tabs>
        <w:snapToGrid w:val="0"/>
        <w:rPr>
          <w:rFonts w:ascii="方正仿宋_GBK" w:hAnsi="方正仿宋_GBK" w:eastAsia="方正仿宋_GBK" w:cs="方正仿宋_GBK"/>
          <w:b/>
          <w:sz w:val="24"/>
          <w:szCs w:val="24"/>
        </w:rPr>
      </w:pPr>
      <w:bookmarkStart w:id="26" w:name="_Toc9726"/>
      <w:bookmarkStart w:id="27" w:name="_Toc477027621"/>
      <w:bookmarkStart w:id="28" w:name="_Toc18094"/>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6"/>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9"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9"/>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30"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30"/>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7"/>
    <w:bookmarkEnd w:id="28"/>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6"/>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6"/>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6"/>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7"/>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7"/>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7"/>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F52E92"/>
    <w:rsid w:val="1B8E228E"/>
    <w:rsid w:val="1C7865F4"/>
    <w:rsid w:val="1D2815CA"/>
    <w:rsid w:val="1D2D2E81"/>
    <w:rsid w:val="1D2E3365"/>
    <w:rsid w:val="1E6B720A"/>
    <w:rsid w:val="1EF86EC7"/>
    <w:rsid w:val="1FBC1B1D"/>
    <w:rsid w:val="1FF775FE"/>
    <w:rsid w:val="20287628"/>
    <w:rsid w:val="203749B0"/>
    <w:rsid w:val="20D65FDF"/>
    <w:rsid w:val="21BB3A7E"/>
    <w:rsid w:val="21FF50C2"/>
    <w:rsid w:val="222E39F2"/>
    <w:rsid w:val="224C2CC3"/>
    <w:rsid w:val="22E22B91"/>
    <w:rsid w:val="27070CA1"/>
    <w:rsid w:val="270F3FF9"/>
    <w:rsid w:val="271E6FA9"/>
    <w:rsid w:val="28077B81"/>
    <w:rsid w:val="28321D4D"/>
    <w:rsid w:val="293F3BD0"/>
    <w:rsid w:val="297A1478"/>
    <w:rsid w:val="2A344B97"/>
    <w:rsid w:val="2ADB5CCE"/>
    <w:rsid w:val="2B3247EE"/>
    <w:rsid w:val="2BF437BD"/>
    <w:rsid w:val="2CAC08A7"/>
    <w:rsid w:val="2D941861"/>
    <w:rsid w:val="2DA41B2C"/>
    <w:rsid w:val="2DB11966"/>
    <w:rsid w:val="2E505C0F"/>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3707776"/>
    <w:rsid w:val="45975B2F"/>
    <w:rsid w:val="46A55988"/>
    <w:rsid w:val="47B91045"/>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52C6CE7"/>
    <w:rsid w:val="57A74DE0"/>
    <w:rsid w:val="57B1418D"/>
    <w:rsid w:val="57D367F9"/>
    <w:rsid w:val="57F2715C"/>
    <w:rsid w:val="584F3B55"/>
    <w:rsid w:val="595D1A5F"/>
    <w:rsid w:val="5A0E2EF6"/>
    <w:rsid w:val="5AA62E48"/>
    <w:rsid w:val="5B3F4610"/>
    <w:rsid w:val="5B433E2C"/>
    <w:rsid w:val="5B8B0992"/>
    <w:rsid w:val="5BC20118"/>
    <w:rsid w:val="5C9B1B86"/>
    <w:rsid w:val="5D755C5D"/>
    <w:rsid w:val="5E140461"/>
    <w:rsid w:val="5F44375C"/>
    <w:rsid w:val="5FA82319"/>
    <w:rsid w:val="600E201D"/>
    <w:rsid w:val="60190F6D"/>
    <w:rsid w:val="602F210D"/>
    <w:rsid w:val="60821055"/>
    <w:rsid w:val="611D6D37"/>
    <w:rsid w:val="61865E2A"/>
    <w:rsid w:val="61BF5F91"/>
    <w:rsid w:val="61C56B56"/>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44AC4"/>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next w:val="17"/>
    <w:link w:val="69"/>
    <w:autoRedefine/>
    <w:unhideWhenUsed/>
    <w:qFormat/>
    <w:uiPriority w:val="99"/>
    <w:pPr>
      <w:spacing w:after="120"/>
    </w:pPr>
  </w:style>
  <w:style w:type="paragraph" w:styleId="17">
    <w:name w:val="Body Text 2"/>
    <w:basedOn w:val="1"/>
    <w:autoRedefine/>
    <w:qFormat/>
    <w:uiPriority w:val="0"/>
    <w:pPr>
      <w:adjustRightInd w:val="0"/>
      <w:snapToGrid w:val="0"/>
      <w:spacing w:after="120" w:line="480" w:lineRule="auto"/>
    </w:pPr>
    <w:rPr>
      <w:sz w:val="24"/>
    </w:rPr>
  </w:style>
  <w:style w:type="paragraph" w:styleId="18">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9">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20">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1">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2">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3">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4">
    <w:name w:val="endnote text"/>
    <w:basedOn w:val="1"/>
    <w:unhideWhenUsed/>
    <w:qFormat/>
    <w:uiPriority w:val="99"/>
    <w:pPr>
      <w:snapToGrid w:val="0"/>
      <w:jc w:val="left"/>
    </w:pPr>
  </w:style>
  <w:style w:type="paragraph" w:styleId="25">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6">
    <w:name w:val="footer"/>
    <w:basedOn w:val="1"/>
    <w:link w:val="56"/>
    <w:autoRedefine/>
    <w:unhideWhenUsed/>
    <w:qFormat/>
    <w:uiPriority w:val="99"/>
    <w:pPr>
      <w:tabs>
        <w:tab w:val="center" w:pos="4153"/>
        <w:tab w:val="right" w:pos="8306"/>
      </w:tabs>
      <w:snapToGrid w:val="0"/>
      <w:jc w:val="left"/>
    </w:pPr>
    <w:rPr>
      <w:sz w:val="18"/>
      <w:szCs w:val="18"/>
    </w:rPr>
  </w:style>
  <w:style w:type="paragraph" w:styleId="27">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9">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30">
    <w:name w:val="index heading"/>
    <w:basedOn w:val="1"/>
    <w:next w:val="31"/>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1">
    <w:name w:val="index 1"/>
    <w:basedOn w:val="1"/>
    <w:next w:val="1"/>
    <w:autoRedefine/>
    <w:semiHidden/>
    <w:unhideWhenUsed/>
    <w:qFormat/>
    <w:uiPriority w:val="0"/>
  </w:style>
  <w:style w:type="paragraph" w:styleId="32">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3">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4">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5">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6">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7">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7"/>
    <w:autoRedefine/>
    <w:qFormat/>
    <w:uiPriority w:val="99"/>
    <w:rPr>
      <w:sz w:val="18"/>
      <w:szCs w:val="18"/>
    </w:rPr>
  </w:style>
  <w:style w:type="character" w:customStyle="1" w:styleId="56">
    <w:name w:val="页脚 字符"/>
    <w:basedOn w:val="48"/>
    <w:link w:val="26"/>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8"/>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1"/>
    <w:autoRedefine/>
    <w:qFormat/>
    <w:uiPriority w:val="99"/>
    <w:rPr>
      <w:rFonts w:hAnsi="Courier New" w:eastAsia="等线" w:cs="Courier New"/>
      <w:kern w:val="2"/>
      <w:sz w:val="32"/>
      <w:szCs w:val="21"/>
    </w:rPr>
  </w:style>
  <w:style w:type="character" w:customStyle="1" w:styleId="83">
    <w:name w:val="日期 字符"/>
    <w:basedOn w:val="48"/>
    <w:link w:val="23"/>
    <w:autoRedefine/>
    <w:qFormat/>
    <w:uiPriority w:val="0"/>
    <w:rPr>
      <w:rFonts w:eastAsia="方正仿宋_GBK" w:cstheme="minorBidi"/>
      <w:kern w:val="2"/>
      <w:sz w:val="32"/>
      <w:szCs w:val="21"/>
    </w:rPr>
  </w:style>
  <w:style w:type="character" w:customStyle="1" w:styleId="84">
    <w:name w:val="批注框文本 字符"/>
    <w:basedOn w:val="48"/>
    <w:link w:val="25"/>
    <w:autoRedefine/>
    <w:qFormat/>
    <w:uiPriority w:val="0"/>
    <w:rPr>
      <w:rFonts w:eastAsia="方正仿宋_GBK" w:cstheme="minorBidi"/>
      <w:kern w:val="2"/>
      <w:sz w:val="18"/>
      <w:szCs w:val="18"/>
    </w:rPr>
  </w:style>
  <w:style w:type="character" w:customStyle="1" w:styleId="85">
    <w:name w:val="副标题 字符"/>
    <w:basedOn w:val="48"/>
    <w:link w:val="32"/>
    <w:autoRedefine/>
    <w:qFormat/>
    <w:uiPriority w:val="11"/>
    <w:rPr>
      <w:rFonts w:eastAsia="方正仿宋_GBK" w:cstheme="minorBidi"/>
      <w:b/>
      <w:bCs/>
      <w:kern w:val="28"/>
      <w:sz w:val="32"/>
      <w:szCs w:val="32"/>
    </w:rPr>
  </w:style>
  <w:style w:type="character" w:customStyle="1" w:styleId="86">
    <w:name w:val="脚注文本 字符"/>
    <w:basedOn w:val="48"/>
    <w:link w:val="34"/>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8"/>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3"/>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20"/>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3601</Words>
  <Characters>3839</Characters>
  <Lines>159</Lines>
  <Paragraphs>45</Paragraphs>
  <TotalTime>4</TotalTime>
  <ScaleCrop>false</ScaleCrop>
  <LinksUpToDate>false</LinksUpToDate>
  <CharactersWithSpaces>4812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2026-07-09T00:56:33Z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